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F22F" w14:textId="7A2B85F8" w:rsidR="00384E76" w:rsidRPr="00C62215" w:rsidRDefault="00384E76" w:rsidP="0033394C">
      <w:pPr>
        <w:spacing w:line="240" w:lineRule="auto"/>
        <w:jc w:val="center"/>
        <w:rPr>
          <w:rFonts w:ascii="Garamond" w:hAnsi="Garamond"/>
          <w:b/>
          <w:sz w:val="24"/>
          <w:szCs w:val="24"/>
          <w:u w:val="single"/>
        </w:rPr>
      </w:pPr>
      <w:r w:rsidRPr="00C62215">
        <w:rPr>
          <w:rFonts w:ascii="Garamond" w:hAnsi="Garamond"/>
          <w:b/>
          <w:sz w:val="24"/>
          <w:szCs w:val="24"/>
          <w:u w:val="single"/>
        </w:rPr>
        <w:t xml:space="preserve">RPS Compliance Report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Data Entry</w:t>
      </w:r>
      <w:r w:rsidRPr="00C62215">
        <w:rPr>
          <w:rFonts w:ascii="Garamond" w:hAnsi="Garamond"/>
          <w:b/>
          <w:sz w:val="24"/>
          <w:szCs w:val="24"/>
          <w:u w:val="single"/>
        </w:rPr>
        <w:t xml:space="preserve"> </w:t>
      </w:r>
      <w:r w:rsidR="0031193C" w:rsidRPr="00C62215">
        <w:rPr>
          <w:rFonts w:ascii="Garamond" w:hAnsi="Garamond"/>
          <w:b/>
          <w:sz w:val="24"/>
          <w:szCs w:val="24"/>
          <w:u w:val="single"/>
        </w:rPr>
        <w:t>Guide</w:t>
      </w:r>
    </w:p>
    <w:p w14:paraId="3EBAE6D1" w14:textId="2CD3627B" w:rsidR="00384E76" w:rsidRPr="00C62215" w:rsidRDefault="00384E76" w:rsidP="0033394C">
      <w:pPr>
        <w:spacing w:line="240" w:lineRule="auto"/>
        <w:rPr>
          <w:rFonts w:ascii="Garamond" w:hAnsi="Garamond"/>
          <w:sz w:val="24"/>
          <w:szCs w:val="24"/>
        </w:rPr>
      </w:pPr>
      <w:r w:rsidRPr="00C62215">
        <w:rPr>
          <w:rFonts w:ascii="Garamond" w:hAnsi="Garamond"/>
          <w:sz w:val="24"/>
          <w:szCs w:val="24"/>
        </w:rPr>
        <w:tab/>
        <w:t xml:space="preserve">This document is being provided to </w:t>
      </w:r>
      <w:r w:rsidR="0031193C" w:rsidRPr="00C62215">
        <w:rPr>
          <w:rFonts w:ascii="Garamond" w:hAnsi="Garamond"/>
          <w:sz w:val="24"/>
          <w:szCs w:val="24"/>
        </w:rPr>
        <w:t xml:space="preserve">assist parties with the insertion (or reinsertion of data from an </w:t>
      </w:r>
      <w:r w:rsidR="0033394C" w:rsidRPr="00C62215">
        <w:rPr>
          <w:rFonts w:ascii="Garamond" w:hAnsi="Garamond"/>
          <w:sz w:val="24"/>
          <w:szCs w:val="24"/>
        </w:rPr>
        <w:t>older version</w:t>
      </w:r>
      <w:r w:rsidR="0031193C" w:rsidRPr="00C62215">
        <w:rPr>
          <w:rFonts w:ascii="Garamond" w:hAnsi="Garamond"/>
          <w:sz w:val="24"/>
          <w:szCs w:val="24"/>
        </w:rPr>
        <w:t xml:space="preserve"> of the template) into the most current version of the </w:t>
      </w:r>
      <w:r w:rsidR="00287C6D" w:rsidRPr="00C62215">
        <w:rPr>
          <w:rFonts w:ascii="Garamond" w:hAnsi="Garamond"/>
          <w:sz w:val="24"/>
          <w:szCs w:val="24"/>
        </w:rPr>
        <w:t>R</w:t>
      </w:r>
      <w:r w:rsidR="0031193C" w:rsidRPr="00C62215">
        <w:rPr>
          <w:rFonts w:ascii="Garamond" w:hAnsi="Garamond"/>
          <w:sz w:val="24"/>
          <w:szCs w:val="24"/>
        </w:rPr>
        <w:t>PS Compliance Report template.</w:t>
      </w:r>
      <w:r w:rsidR="00655409" w:rsidRPr="00C62215">
        <w:rPr>
          <w:rFonts w:ascii="Garamond" w:hAnsi="Garamond"/>
          <w:sz w:val="24"/>
          <w:szCs w:val="24"/>
        </w:rPr>
        <w:t xml:space="preserve"> The titles of each section </w:t>
      </w:r>
      <w:r w:rsidR="00271B2C" w:rsidRPr="00C62215">
        <w:rPr>
          <w:rFonts w:ascii="Garamond" w:hAnsi="Garamond"/>
          <w:sz w:val="24"/>
          <w:szCs w:val="24"/>
        </w:rPr>
        <w:t>in</w:t>
      </w:r>
      <w:r w:rsidR="00655409" w:rsidRPr="00C62215">
        <w:rPr>
          <w:rFonts w:ascii="Garamond" w:hAnsi="Garamond"/>
          <w:sz w:val="24"/>
          <w:szCs w:val="24"/>
        </w:rPr>
        <w:t xml:space="preserve"> this guide (</w:t>
      </w:r>
      <w:r w:rsidR="00655409" w:rsidRPr="00C62215">
        <w:rPr>
          <w:rFonts w:ascii="Garamond" w:hAnsi="Garamond"/>
          <w:i/>
          <w:sz w:val="24"/>
          <w:szCs w:val="24"/>
        </w:rPr>
        <w:t>e.g.</w:t>
      </w:r>
      <w:r w:rsidR="00655409" w:rsidRPr="00C62215">
        <w:rPr>
          <w:rFonts w:ascii="Garamond" w:hAnsi="Garamond"/>
          <w:sz w:val="24"/>
          <w:szCs w:val="24"/>
        </w:rPr>
        <w:t xml:space="preserve"> Section 1 “Title Page”) corresponds with the tab title and corresponding worksheet in the RPS Compliance Report</w:t>
      </w:r>
      <w:r w:rsidR="00C82F4E" w:rsidRPr="00C62215">
        <w:rPr>
          <w:rFonts w:ascii="Garamond" w:hAnsi="Garamond"/>
          <w:sz w:val="24"/>
          <w:szCs w:val="24"/>
        </w:rPr>
        <w:t xml:space="preserve"> Microsoft</w:t>
      </w:r>
      <w:r w:rsidR="00655409" w:rsidRPr="00C62215">
        <w:rPr>
          <w:rFonts w:ascii="Garamond" w:hAnsi="Garamond"/>
          <w:sz w:val="24"/>
          <w:szCs w:val="24"/>
        </w:rPr>
        <w:t xml:space="preserve"> Excel workbook. </w:t>
      </w:r>
    </w:p>
    <w:p w14:paraId="2335AF6D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sdt>
      <w:sdtPr>
        <w:rPr>
          <w:rFonts w:ascii="Garamond" w:eastAsiaTheme="minorEastAsia" w:hAnsi="Garamond" w:cstheme="minorBidi"/>
          <w:b/>
          <w:bCs/>
          <w:color w:val="auto"/>
          <w:sz w:val="24"/>
          <w:szCs w:val="24"/>
        </w:rPr>
        <w:id w:val="8637884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97B7B8" w14:textId="77777777" w:rsidR="00655409" w:rsidRPr="00C62215" w:rsidRDefault="00655409" w:rsidP="00655409">
          <w:pPr>
            <w:pStyle w:val="TOCHeading"/>
            <w:jc w:val="center"/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</w:pPr>
          <w:r w:rsidRPr="00C62215">
            <w:rPr>
              <w:rFonts w:ascii="Garamond" w:eastAsiaTheme="minorHAnsi" w:hAnsi="Garamond" w:cstheme="minorBidi"/>
              <w:b/>
              <w:color w:val="auto"/>
              <w:sz w:val="24"/>
              <w:szCs w:val="24"/>
            </w:rPr>
            <w:t>Table of Contents</w:t>
          </w:r>
        </w:p>
        <w:p w14:paraId="207006DB" w14:textId="77777777" w:rsidR="00655409" w:rsidRPr="00C62215" w:rsidRDefault="00655409" w:rsidP="00655409">
          <w:pPr>
            <w:rPr>
              <w:rFonts w:ascii="Garamond" w:hAnsi="Garamond"/>
              <w:sz w:val="24"/>
              <w:szCs w:val="24"/>
            </w:rPr>
          </w:pPr>
        </w:p>
        <w:p w14:paraId="04C3C073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r w:rsidRPr="00C62215">
            <w:rPr>
              <w:rFonts w:ascii="Garamond" w:hAnsi="Garamond"/>
              <w:sz w:val="24"/>
              <w:szCs w:val="24"/>
            </w:rPr>
            <w:fldChar w:fldCharType="begin"/>
          </w:r>
          <w:r w:rsidRPr="00C62215">
            <w:rPr>
              <w:rFonts w:ascii="Garamond" w:hAnsi="Garamond"/>
              <w:sz w:val="24"/>
              <w:szCs w:val="24"/>
            </w:rPr>
            <w:instrText xml:space="preserve"> TOC \o "1-3" \h \z \u </w:instrText>
          </w:r>
          <w:r w:rsidRPr="00C62215">
            <w:rPr>
              <w:rFonts w:ascii="Garamond" w:hAnsi="Garamond"/>
              <w:sz w:val="24"/>
              <w:szCs w:val="24"/>
            </w:rPr>
            <w:fldChar w:fldCharType="separate"/>
          </w:r>
          <w:hyperlink w:anchor="_Toc520889040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Title Page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_Toc520889040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1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BABACA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2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Office Verification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_Toc520889042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2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9CCE5E" w14:textId="77777777" w:rsidR="00655409" w:rsidRPr="00C62215" w:rsidRDefault="00655409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4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III.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Contracts Details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_Toc520889044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3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A5D713" w14:textId="77777777" w:rsidR="00655409" w:rsidRPr="00C62215" w:rsidRDefault="00655409" w:rsidP="00655409">
          <w:pPr>
            <w:pStyle w:val="TOC1"/>
            <w:tabs>
              <w:tab w:val="left" w:pos="66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48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IV.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36 Month Retirement(s)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_Toc520889048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4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38AF19" w14:textId="77777777" w:rsidR="00655409" w:rsidRPr="00C62215" w:rsidRDefault="00655409" w:rsidP="00655409">
          <w:pPr>
            <w:pStyle w:val="TOC1"/>
            <w:tabs>
              <w:tab w:val="left" w:pos="440"/>
              <w:tab w:val="right" w:leader="dot" w:pos="9350"/>
            </w:tabs>
            <w:spacing w:line="480" w:lineRule="auto"/>
            <w:rPr>
              <w:rFonts w:ascii="Garamond" w:hAnsi="Garamond"/>
              <w:noProof/>
              <w:sz w:val="24"/>
              <w:szCs w:val="24"/>
            </w:rPr>
          </w:pPr>
          <w:hyperlink w:anchor="_Toc520889051" w:history="1"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V.</w:t>
            </w:r>
            <w:r w:rsidRPr="00C62215">
              <w:rPr>
                <w:rFonts w:ascii="Garamond" w:hAnsi="Garamond"/>
                <w:noProof/>
                <w:sz w:val="24"/>
                <w:szCs w:val="24"/>
              </w:rPr>
              <w:tab/>
              <w:t xml:space="preserve">    </w:t>
            </w:r>
            <w:r w:rsidRPr="00C62215">
              <w:rPr>
                <w:rStyle w:val="Hyperlink"/>
                <w:rFonts w:ascii="Garamond" w:hAnsi="Garamond"/>
                <w:noProof/>
                <w:sz w:val="24"/>
                <w:szCs w:val="24"/>
              </w:rPr>
              <w:t>Unique Inputs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ab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begin"/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instrText xml:space="preserve"> PAGEREF _Toc520889051 \h </w:instrTex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separate"/>
            </w:r>
            <w:r w:rsidR="00F30FE4"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t>5</w:t>
            </w:r>
            <w:r w:rsidRPr="00C62215">
              <w:rPr>
                <w:rFonts w:ascii="Garamond" w:hAnsi="Garamond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A21898" w14:textId="77777777" w:rsidR="00655409" w:rsidRPr="00C62215" w:rsidRDefault="00655409">
          <w:pPr>
            <w:rPr>
              <w:rFonts w:ascii="Garamond" w:hAnsi="Garamond"/>
              <w:sz w:val="24"/>
              <w:szCs w:val="24"/>
            </w:rPr>
          </w:pPr>
          <w:r w:rsidRPr="00C62215">
            <w:rPr>
              <w:rFonts w:ascii="Garamond" w:hAnsi="Garamond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63962FC5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13B38D62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2910F4C1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0A8A4996" w14:textId="4E824B4F" w:rsidR="007F0812" w:rsidRDefault="007F081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14:paraId="778FFB26" w14:textId="77777777" w:rsidR="00FE7A2D" w:rsidRPr="00C62215" w:rsidRDefault="00FE7A2D" w:rsidP="0033394C">
      <w:pPr>
        <w:spacing w:line="240" w:lineRule="auto"/>
        <w:rPr>
          <w:rFonts w:ascii="Garamond" w:hAnsi="Garamond"/>
          <w:sz w:val="24"/>
          <w:szCs w:val="24"/>
        </w:rPr>
      </w:pPr>
    </w:p>
    <w:p w14:paraId="7635BF2E" w14:textId="77777777" w:rsidR="00786869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0" w:name="_Toc520889040"/>
      <w:r w:rsidRPr="00C62215">
        <w:rPr>
          <w:rFonts w:ascii="Garamond" w:hAnsi="Garamond"/>
          <w:sz w:val="24"/>
          <w:szCs w:val="24"/>
        </w:rPr>
        <w:t>Title Page</w:t>
      </w:r>
      <w:bookmarkEnd w:id="0"/>
    </w:p>
    <w:p w14:paraId="06F430B0" w14:textId="3AD7A41E" w:rsidR="005B6220" w:rsidRPr="00C62215" w:rsidRDefault="005B6220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" w:name="_Toc520889041"/>
      <w:r w:rsidRPr="76C007A5">
        <w:rPr>
          <w:rFonts w:ascii="Garamond" w:hAnsi="Garamond"/>
          <w:sz w:val="24"/>
          <w:szCs w:val="24"/>
        </w:rPr>
        <w:t>Insert relevant data into cells highlighted yellow</w:t>
      </w:r>
      <w:r w:rsidR="008F7A2E" w:rsidRPr="76C007A5">
        <w:rPr>
          <w:rFonts w:ascii="Garamond" w:hAnsi="Garamond"/>
          <w:sz w:val="24"/>
          <w:szCs w:val="24"/>
        </w:rPr>
        <w:t xml:space="preserve"> (select from drop-down list or insert manually)</w:t>
      </w:r>
      <w:r w:rsidRPr="76C007A5">
        <w:rPr>
          <w:rFonts w:ascii="Garamond" w:hAnsi="Garamond"/>
          <w:sz w:val="24"/>
          <w:szCs w:val="24"/>
        </w:rPr>
        <w:t>:</w:t>
      </w:r>
      <w:bookmarkEnd w:id="1"/>
    </w:p>
    <w:p w14:paraId="60FC95D8" w14:textId="30E6AB0E" w:rsidR="005B6220" w:rsidRPr="00C62215" w:rsidRDefault="00605250" w:rsidP="76C007A5">
      <w:pPr>
        <w:spacing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inline distT="0" distB="0" distL="0" distR="0" wp14:anchorId="0BF59385" wp14:editId="55296A7A">
            <wp:extent cx="7943850" cy="5419725"/>
            <wp:effectExtent l="0" t="0" r="0" b="9525"/>
            <wp:docPr id="17382385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D32" w:rsidRPr="76C007A5">
        <w:rPr>
          <w:rFonts w:ascii="Garamond" w:hAnsi="Garamond"/>
          <w:sz w:val="24"/>
          <w:szCs w:val="24"/>
        </w:rPr>
        <w:br w:type="page"/>
      </w:r>
    </w:p>
    <w:p w14:paraId="550D6B5D" w14:textId="7B5DEF83" w:rsidR="005B6220" w:rsidRPr="00C62215" w:rsidRDefault="005B6220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2" w:name="_Toc520889042"/>
      <w:r w:rsidRPr="00C62215">
        <w:rPr>
          <w:rFonts w:ascii="Garamond" w:hAnsi="Garamond"/>
          <w:sz w:val="24"/>
          <w:szCs w:val="24"/>
        </w:rPr>
        <w:t>Office</w:t>
      </w:r>
      <w:r w:rsidR="00653D62" w:rsidRPr="00C62215">
        <w:rPr>
          <w:rFonts w:ascii="Garamond" w:hAnsi="Garamond"/>
          <w:sz w:val="24"/>
          <w:szCs w:val="24"/>
        </w:rPr>
        <w:t>r</w:t>
      </w:r>
      <w:r w:rsidRPr="00C62215">
        <w:rPr>
          <w:rFonts w:ascii="Garamond" w:hAnsi="Garamond"/>
          <w:sz w:val="24"/>
          <w:szCs w:val="24"/>
        </w:rPr>
        <w:t xml:space="preserve"> Verification</w:t>
      </w:r>
      <w:bookmarkEnd w:id="2"/>
    </w:p>
    <w:p w14:paraId="7EDCBE33" w14:textId="035CC5A2" w:rsidR="005B6220" w:rsidRPr="00C62215" w:rsidRDefault="005B6220" w:rsidP="0033394C">
      <w:pPr>
        <w:pStyle w:val="Heading2"/>
        <w:numPr>
          <w:ilvl w:val="0"/>
          <w:numId w:val="6"/>
        </w:numPr>
        <w:spacing w:line="240" w:lineRule="auto"/>
        <w:rPr>
          <w:rFonts w:ascii="Garamond" w:hAnsi="Garamond"/>
          <w:sz w:val="24"/>
          <w:szCs w:val="24"/>
        </w:rPr>
      </w:pPr>
      <w:bookmarkStart w:id="3" w:name="_Toc520889043"/>
      <w:r w:rsidRPr="76C007A5">
        <w:rPr>
          <w:rFonts w:ascii="Garamond" w:hAnsi="Garamond"/>
          <w:sz w:val="24"/>
          <w:szCs w:val="24"/>
        </w:rPr>
        <w:t xml:space="preserve">Complete </w:t>
      </w:r>
      <w:r w:rsidR="00653D62" w:rsidRPr="76C007A5">
        <w:rPr>
          <w:rFonts w:ascii="Garamond" w:hAnsi="Garamond"/>
          <w:sz w:val="24"/>
          <w:szCs w:val="24"/>
        </w:rPr>
        <w:t>the O</w:t>
      </w:r>
      <w:r w:rsidRPr="76C007A5">
        <w:rPr>
          <w:rFonts w:ascii="Garamond" w:hAnsi="Garamond"/>
          <w:sz w:val="24"/>
          <w:szCs w:val="24"/>
        </w:rPr>
        <w:t xml:space="preserve">fficer </w:t>
      </w:r>
      <w:r w:rsidR="00653D62" w:rsidRPr="76C007A5">
        <w:rPr>
          <w:rFonts w:ascii="Garamond" w:hAnsi="Garamond"/>
          <w:sz w:val="24"/>
          <w:szCs w:val="24"/>
        </w:rPr>
        <w:t>Ver</w:t>
      </w:r>
      <w:r w:rsidRPr="76C007A5">
        <w:rPr>
          <w:rFonts w:ascii="Garamond" w:hAnsi="Garamond"/>
          <w:sz w:val="24"/>
          <w:szCs w:val="24"/>
        </w:rPr>
        <w:t xml:space="preserve">ification form, as provided in the </w:t>
      </w:r>
      <w:r w:rsidR="00653D62" w:rsidRPr="76C007A5">
        <w:rPr>
          <w:rFonts w:ascii="Garamond" w:hAnsi="Garamond"/>
          <w:sz w:val="24"/>
          <w:szCs w:val="24"/>
        </w:rPr>
        <w:t>C</w:t>
      </w:r>
      <w:r w:rsidRPr="76C007A5">
        <w:rPr>
          <w:rFonts w:ascii="Garamond" w:hAnsi="Garamond"/>
          <w:sz w:val="24"/>
          <w:szCs w:val="24"/>
        </w:rPr>
        <w:t xml:space="preserve">ompliance </w:t>
      </w:r>
      <w:r w:rsidR="00653D62" w:rsidRPr="76C007A5">
        <w:rPr>
          <w:rFonts w:ascii="Garamond" w:hAnsi="Garamond"/>
          <w:sz w:val="24"/>
          <w:szCs w:val="24"/>
        </w:rPr>
        <w:t>R</w:t>
      </w:r>
      <w:r w:rsidRPr="76C007A5">
        <w:rPr>
          <w:rFonts w:ascii="Garamond" w:hAnsi="Garamond"/>
          <w:sz w:val="24"/>
          <w:szCs w:val="24"/>
        </w:rPr>
        <w:t>eport template:</w:t>
      </w:r>
      <w:bookmarkEnd w:id="3"/>
    </w:p>
    <w:p w14:paraId="7579AE8C" w14:textId="386E1B52" w:rsidR="005B6220" w:rsidRPr="00C62215" w:rsidRDefault="00EE3D3D" w:rsidP="00EE3D3D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287E0B9" wp14:editId="797C8102">
            <wp:extent cx="4638675" cy="4381500"/>
            <wp:effectExtent l="0" t="0" r="9525" b="0"/>
            <wp:docPr id="20631697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A3329" w14:textId="77777777" w:rsidR="002A1B3E" w:rsidRPr="00C62215" w:rsidRDefault="005B6220" w:rsidP="0033394C">
      <w:pPr>
        <w:spacing w:line="240" w:lineRule="auto"/>
        <w:rPr>
          <w:rFonts w:ascii="Garamond" w:hAnsi="Garamond"/>
          <w:sz w:val="24"/>
          <w:szCs w:val="24"/>
        </w:rPr>
        <w:sectPr w:rsidR="002A1B3E" w:rsidRPr="00C62215" w:rsidSect="00E0227A">
          <w:footerReference w:type="default" r:id="rId10"/>
          <w:footerReference w:type="first" r:id="rId11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C62215">
        <w:rPr>
          <w:rFonts w:ascii="Garamond" w:hAnsi="Garamond"/>
          <w:sz w:val="24"/>
          <w:szCs w:val="24"/>
        </w:rPr>
        <w:br w:type="page"/>
      </w:r>
    </w:p>
    <w:p w14:paraId="65F980F0" w14:textId="77777777" w:rsidR="005B6220" w:rsidRPr="00C62215" w:rsidRDefault="00AE30B8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4" w:name="_Toc520889044"/>
      <w:r w:rsidRPr="00C62215">
        <w:rPr>
          <w:rFonts w:ascii="Garamond" w:hAnsi="Garamond"/>
          <w:sz w:val="24"/>
          <w:szCs w:val="24"/>
        </w:rPr>
        <w:t>Contracts Details</w:t>
      </w:r>
      <w:bookmarkEnd w:id="4"/>
    </w:p>
    <w:p w14:paraId="2FD4573F" w14:textId="2C5EE25D" w:rsidR="00AE30B8" w:rsidRPr="00C62215" w:rsidRDefault="00AE30B8" w:rsidP="0033394C">
      <w:pPr>
        <w:pStyle w:val="Heading2"/>
        <w:numPr>
          <w:ilvl w:val="0"/>
          <w:numId w:val="7"/>
        </w:numPr>
        <w:spacing w:line="240" w:lineRule="auto"/>
        <w:rPr>
          <w:rFonts w:ascii="Garamond" w:hAnsi="Garamond"/>
          <w:sz w:val="24"/>
          <w:szCs w:val="24"/>
        </w:rPr>
      </w:pPr>
      <w:bookmarkStart w:id="5" w:name="_Toc520889045"/>
      <w:r w:rsidRPr="00C62215">
        <w:rPr>
          <w:rFonts w:ascii="Garamond" w:hAnsi="Garamond"/>
          <w:sz w:val="24"/>
          <w:szCs w:val="24"/>
        </w:rPr>
        <w:t xml:space="preserve">Insert data into </w:t>
      </w:r>
      <w:r w:rsidR="00653D62" w:rsidRPr="00C62215">
        <w:rPr>
          <w:rFonts w:ascii="Garamond" w:hAnsi="Garamond"/>
          <w:sz w:val="24"/>
          <w:szCs w:val="24"/>
        </w:rPr>
        <w:t>the shaded cells</w:t>
      </w:r>
      <w:r w:rsidRPr="00C62215">
        <w:rPr>
          <w:rFonts w:ascii="Garamond" w:hAnsi="Garamond"/>
          <w:sz w:val="24"/>
          <w:szCs w:val="24"/>
        </w:rPr>
        <w:t xml:space="preserve">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="00C82F4E" w:rsidRPr="00C62215">
        <w:rPr>
          <w:rFonts w:ascii="Garamond" w:hAnsi="Garamond"/>
          <w:i/>
          <w:sz w:val="24"/>
          <w:szCs w:val="24"/>
        </w:rPr>
        <w:t>s A-</w:t>
      </w:r>
      <w:r w:rsidRPr="00C62215">
        <w:rPr>
          <w:rFonts w:ascii="Garamond" w:hAnsi="Garamond"/>
          <w:i/>
          <w:sz w:val="24"/>
          <w:szCs w:val="24"/>
        </w:rPr>
        <w:t>A</w:t>
      </w:r>
      <w:r w:rsidR="00CC4F70" w:rsidRPr="00C62215">
        <w:rPr>
          <w:rFonts w:ascii="Garamond" w:hAnsi="Garamond"/>
          <w:i/>
          <w:sz w:val="24"/>
          <w:szCs w:val="24"/>
        </w:rPr>
        <w:t>T</w:t>
      </w:r>
      <w:r w:rsidR="00282B40" w:rsidRPr="00C62215">
        <w:rPr>
          <w:rFonts w:ascii="Garamond" w:hAnsi="Garamond"/>
          <w:sz w:val="24"/>
          <w:szCs w:val="24"/>
        </w:rPr>
        <w:t xml:space="preserve"> associated with </w:t>
      </w:r>
      <w:r w:rsidR="00C82F4E" w:rsidRPr="00C62215">
        <w:rPr>
          <w:rFonts w:ascii="Garamond" w:hAnsi="Garamond"/>
          <w:i/>
          <w:sz w:val="24"/>
          <w:szCs w:val="24"/>
        </w:rPr>
        <w:t>Row 9 and greater</w:t>
      </w:r>
      <w:r w:rsidRPr="00C62215">
        <w:rPr>
          <w:rFonts w:ascii="Garamond" w:hAnsi="Garamond"/>
          <w:sz w:val="24"/>
          <w:szCs w:val="24"/>
        </w:rPr>
        <w:t>) for all RPS-eligible contracts</w:t>
      </w:r>
      <w:r w:rsidR="0033394C" w:rsidRPr="00C62215">
        <w:rPr>
          <w:rFonts w:ascii="Garamond" w:hAnsi="Garamond"/>
          <w:sz w:val="24"/>
          <w:szCs w:val="24"/>
        </w:rPr>
        <w:t>.</w:t>
      </w:r>
      <w:bookmarkEnd w:id="5"/>
    </w:p>
    <w:p w14:paraId="7074647E" w14:textId="68758FFE" w:rsidR="005A3440" w:rsidRPr="00C62215" w:rsidRDefault="00DD7DB4" w:rsidP="005A3440">
      <w:pPr>
        <w:pStyle w:val="Heading4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 xml:space="preserve">Select the LSE Name from the drop-down list of Reporting LSEs in Column B. </w:t>
      </w:r>
    </w:p>
    <w:p w14:paraId="58C71DEA" w14:textId="2FC6CEA8" w:rsidR="009D5BD1" w:rsidRPr="00C62215" w:rsidRDefault="00DE7041" w:rsidP="009D5BD1">
      <w:pPr>
        <w:pStyle w:val="Heading4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C62215">
        <w:rPr>
          <w:rFonts w:ascii="Garamond" w:hAnsi="Garamond"/>
          <w:sz w:val="24"/>
          <w:szCs w:val="24"/>
          <w:u w:val="none"/>
        </w:rPr>
        <w:t>E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ach </w:t>
      </w:r>
      <w:r w:rsidR="0033394C" w:rsidRPr="00C62215">
        <w:rPr>
          <w:rFonts w:ascii="Garamond" w:hAnsi="Garamond"/>
          <w:sz w:val="24"/>
          <w:szCs w:val="24"/>
          <w:u w:val="none"/>
        </w:rPr>
        <w:t xml:space="preserve">unique </w:t>
      </w:r>
      <w:r w:rsidR="002A1B3E" w:rsidRPr="00C62215">
        <w:rPr>
          <w:rFonts w:ascii="Garamond" w:hAnsi="Garamond"/>
          <w:sz w:val="24"/>
          <w:szCs w:val="24"/>
          <w:u w:val="none"/>
        </w:rPr>
        <w:t xml:space="preserve">contract should have </w:t>
      </w:r>
      <w:r w:rsidRPr="00C62215">
        <w:rPr>
          <w:rFonts w:ascii="Garamond" w:hAnsi="Garamond"/>
          <w:sz w:val="24"/>
          <w:szCs w:val="24"/>
          <w:u w:val="none"/>
        </w:rPr>
        <w:t>its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 own RPS Contract ID number</w:t>
      </w:r>
      <w:r w:rsidRPr="00C62215">
        <w:rPr>
          <w:rFonts w:ascii="Garamond" w:hAnsi="Garamond"/>
          <w:sz w:val="24"/>
          <w:szCs w:val="24"/>
          <w:u w:val="none"/>
        </w:rPr>
        <w:t xml:space="preserve"> associated with it (especially if one contract includes generation from multiple RPS projects)</w:t>
      </w:r>
      <w:r w:rsidR="0063339A" w:rsidRPr="00C62215">
        <w:rPr>
          <w:rFonts w:ascii="Garamond" w:hAnsi="Garamond"/>
          <w:sz w:val="24"/>
          <w:szCs w:val="24"/>
          <w:u w:val="none"/>
        </w:rPr>
        <w:t xml:space="preserve">. See page 6 of the PCC Classification Handbook for the </w:t>
      </w:r>
      <w:r w:rsidRPr="00C62215">
        <w:rPr>
          <w:rFonts w:ascii="Garamond" w:hAnsi="Garamond"/>
          <w:sz w:val="24"/>
          <w:szCs w:val="24"/>
          <w:u w:val="none"/>
        </w:rPr>
        <w:t xml:space="preserve">ID number formula. </w:t>
      </w:r>
    </w:p>
    <w:p w14:paraId="78F2BD66" w14:textId="7B9CE85F" w:rsidR="0067150C" w:rsidRPr="00C62215" w:rsidRDefault="0067150C" w:rsidP="0067150C">
      <w:pPr>
        <w:pStyle w:val="ListParagraph"/>
        <w:numPr>
          <w:ilvl w:val="1"/>
          <w:numId w:val="12"/>
        </w:numPr>
        <w:rPr>
          <w:rFonts w:ascii="Garamond" w:hAnsi="Garamond"/>
          <w:sz w:val="24"/>
          <w:szCs w:val="24"/>
        </w:rPr>
      </w:pPr>
      <w:bookmarkStart w:id="6" w:name="_Hlk74581879"/>
      <w:r w:rsidRPr="00C62215">
        <w:rPr>
          <w:rFonts w:ascii="Garamond" w:hAnsi="Garamond"/>
          <w:sz w:val="24"/>
          <w:szCs w:val="24"/>
        </w:rPr>
        <w:t>If a single contract includes procurement from various RPS technologies, select “</w:t>
      </w:r>
      <w:r w:rsidR="006C264B">
        <w:rPr>
          <w:rFonts w:ascii="Garamond" w:hAnsi="Garamond"/>
          <w:sz w:val="24"/>
          <w:szCs w:val="24"/>
        </w:rPr>
        <w:t>Multiple Types</w:t>
      </w:r>
      <w:r w:rsidRPr="00C62215">
        <w:rPr>
          <w:rFonts w:ascii="Garamond" w:hAnsi="Garamond"/>
          <w:sz w:val="24"/>
          <w:szCs w:val="24"/>
        </w:rPr>
        <w:t xml:space="preserve">” as Resource Type from drop-down menu. </w:t>
      </w:r>
    </w:p>
    <w:p w14:paraId="658094C2" w14:textId="0522A6F1" w:rsidR="002A1B3E" w:rsidRPr="00C62215" w:rsidRDefault="005A3440" w:rsidP="0033394C">
      <w:pPr>
        <w:pStyle w:val="Heading3"/>
        <w:numPr>
          <w:ilvl w:val="1"/>
          <w:numId w:val="12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7" w:name="_Toc520889047"/>
      <w:bookmarkEnd w:id="6"/>
      <w:r w:rsidRPr="00C62215">
        <w:rPr>
          <w:rFonts w:ascii="Garamond" w:hAnsi="Garamond"/>
          <w:sz w:val="24"/>
          <w:szCs w:val="24"/>
          <w:u w:val="none"/>
        </w:rPr>
        <w:t xml:space="preserve">For Column AL “Contract Volume (MWH)” </w:t>
      </w:r>
      <w:r w:rsidR="001145E5" w:rsidRPr="00C62215">
        <w:rPr>
          <w:rFonts w:ascii="Garamond" w:hAnsi="Garamond"/>
          <w:sz w:val="24"/>
          <w:szCs w:val="24"/>
          <w:u w:val="none"/>
        </w:rPr>
        <w:t>LSEs</w:t>
      </w:r>
      <w:r w:rsidRPr="00C62215">
        <w:rPr>
          <w:rFonts w:ascii="Garamond" w:hAnsi="Garamond"/>
          <w:sz w:val="24"/>
          <w:szCs w:val="24"/>
          <w:u w:val="none"/>
        </w:rPr>
        <w:t xml:space="preserve"> </w:t>
      </w:r>
      <w:bookmarkEnd w:id="7"/>
      <w:r w:rsidR="00FE709B">
        <w:rPr>
          <w:rFonts w:ascii="Garamond" w:hAnsi="Garamond"/>
          <w:sz w:val="24"/>
          <w:szCs w:val="24"/>
          <w:u w:val="none"/>
        </w:rPr>
        <w:t xml:space="preserve">must enter the total amount of RPS energy procured over the entire term of the contract. </w:t>
      </w:r>
    </w:p>
    <w:p w14:paraId="3224B262" w14:textId="00C20F54" w:rsidR="001E491A" w:rsidRDefault="001E491A" w:rsidP="001E491A">
      <w:pPr>
        <w:pStyle w:val="ListParagraph"/>
        <w:numPr>
          <w:ilvl w:val="1"/>
          <w:numId w:val="12"/>
        </w:numPr>
        <w:rPr>
          <w:rFonts w:ascii="Garamond" w:hAnsi="Garamond"/>
          <w:sz w:val="24"/>
          <w:szCs w:val="24"/>
        </w:rPr>
      </w:pPr>
      <w:r w:rsidRPr="76C007A5">
        <w:rPr>
          <w:rFonts w:ascii="Garamond" w:hAnsi="Garamond"/>
          <w:sz w:val="24"/>
          <w:szCs w:val="24"/>
        </w:rPr>
        <w:t>For a description of each column in the Contracts Details tab, see page</w:t>
      </w:r>
      <w:r w:rsidR="00C62215" w:rsidRPr="76C007A5">
        <w:rPr>
          <w:rFonts w:ascii="Garamond" w:hAnsi="Garamond"/>
          <w:sz w:val="24"/>
          <w:szCs w:val="24"/>
        </w:rPr>
        <w:t>s 5-8 of</w:t>
      </w:r>
      <w:r w:rsidRPr="76C007A5">
        <w:rPr>
          <w:rFonts w:ascii="Garamond" w:hAnsi="Garamond"/>
          <w:sz w:val="24"/>
          <w:szCs w:val="24"/>
        </w:rPr>
        <w:t xml:space="preserve"> the PCC Classification Handbook</w:t>
      </w:r>
      <w:r w:rsidR="00C62215" w:rsidRPr="76C007A5">
        <w:rPr>
          <w:rFonts w:ascii="Garamond" w:hAnsi="Garamond"/>
          <w:sz w:val="24"/>
          <w:szCs w:val="24"/>
        </w:rPr>
        <w:t>.</w:t>
      </w:r>
    </w:p>
    <w:p w14:paraId="3B99D636" w14:textId="399468A8" w:rsidR="00C62215" w:rsidRPr="00C62215" w:rsidRDefault="00C62215" w:rsidP="00C62215">
      <w:pPr>
        <w:pStyle w:val="ListParagraph"/>
        <w:ind w:left="1080"/>
      </w:pPr>
    </w:p>
    <w:p w14:paraId="2FD2ABDF" w14:textId="0BB23D68" w:rsidR="00C62215" w:rsidRPr="00C62215" w:rsidRDefault="006E05E7" w:rsidP="00C62215">
      <w:pPr>
        <w:pStyle w:val="ListParagraph"/>
        <w:ind w:left="1080"/>
      </w:pPr>
      <w:r>
        <w:rPr>
          <w:noProof/>
        </w:rPr>
        <w:drawing>
          <wp:inline distT="0" distB="0" distL="0" distR="0" wp14:anchorId="1BFE062F" wp14:editId="17F7778E">
            <wp:extent cx="5953125" cy="3695700"/>
            <wp:effectExtent l="0" t="0" r="9525" b="0"/>
            <wp:docPr id="158588655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3B802" w14:textId="77777777" w:rsidR="00332095" w:rsidRPr="00C62215" w:rsidRDefault="00332095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8" w:name="_Toc520889048"/>
      <w:r w:rsidRPr="00C62215">
        <w:rPr>
          <w:rFonts w:ascii="Garamond" w:hAnsi="Garamond"/>
          <w:sz w:val="24"/>
          <w:szCs w:val="24"/>
        </w:rPr>
        <w:t>36 Month Retirement(s)</w:t>
      </w:r>
      <w:bookmarkEnd w:id="8"/>
    </w:p>
    <w:p w14:paraId="3CE3DC29" w14:textId="477478A6" w:rsidR="00332095" w:rsidRDefault="00332095" w:rsidP="0075BCD0">
      <w:pPr>
        <w:pStyle w:val="Heading2"/>
        <w:numPr>
          <w:ilvl w:val="0"/>
          <w:numId w:val="9"/>
        </w:numPr>
        <w:spacing w:line="240" w:lineRule="auto"/>
        <w:rPr>
          <w:rFonts w:ascii="Garamond" w:hAnsi="Garamond"/>
          <w:sz w:val="24"/>
          <w:szCs w:val="24"/>
        </w:rPr>
      </w:pPr>
      <w:bookmarkStart w:id="9" w:name="_Toc520889049"/>
      <w:r w:rsidRPr="0075BCD0">
        <w:rPr>
          <w:rFonts w:ascii="Garamond" w:hAnsi="Garamond"/>
          <w:sz w:val="24"/>
          <w:szCs w:val="24"/>
        </w:rPr>
        <w:t xml:space="preserve">Insert data into </w:t>
      </w:r>
      <w:r w:rsidR="00FE0F7F" w:rsidRPr="0075BCD0">
        <w:rPr>
          <w:rFonts w:ascii="Garamond" w:hAnsi="Garamond"/>
          <w:sz w:val="24"/>
          <w:szCs w:val="24"/>
        </w:rPr>
        <w:t>the</w:t>
      </w:r>
      <w:r w:rsidR="009D6097">
        <w:rPr>
          <w:rFonts w:ascii="Garamond" w:hAnsi="Garamond"/>
          <w:sz w:val="24"/>
          <w:szCs w:val="24"/>
        </w:rPr>
        <w:t xml:space="preserve"> lighter shaded</w:t>
      </w:r>
      <w:r w:rsidR="00FE0F7F" w:rsidRPr="0075BCD0">
        <w:rPr>
          <w:rFonts w:ascii="Garamond" w:hAnsi="Garamond"/>
          <w:sz w:val="24"/>
          <w:szCs w:val="24"/>
        </w:rPr>
        <w:t xml:space="preserve"> cells</w:t>
      </w:r>
      <w:r w:rsidRPr="0075BCD0">
        <w:rPr>
          <w:rFonts w:ascii="Garamond" w:hAnsi="Garamond"/>
          <w:sz w:val="24"/>
          <w:szCs w:val="24"/>
        </w:rPr>
        <w:t xml:space="preserve"> (</w:t>
      </w:r>
      <w:r w:rsidR="00544489" w:rsidRPr="0075BCD0">
        <w:rPr>
          <w:rFonts w:ascii="Garamond" w:hAnsi="Garamond"/>
          <w:i/>
          <w:iCs/>
          <w:sz w:val="24"/>
          <w:szCs w:val="24"/>
        </w:rPr>
        <w:t>Column</w:t>
      </w:r>
      <w:r w:rsidR="00C82F4E" w:rsidRPr="0075BCD0">
        <w:rPr>
          <w:rFonts w:ascii="Garamond" w:hAnsi="Garamond"/>
          <w:i/>
          <w:iCs/>
          <w:sz w:val="24"/>
          <w:szCs w:val="24"/>
        </w:rPr>
        <w:t>s B-</w:t>
      </w:r>
      <w:r w:rsidRPr="0075BCD0">
        <w:rPr>
          <w:rFonts w:ascii="Garamond" w:hAnsi="Garamond"/>
          <w:i/>
          <w:iCs/>
          <w:sz w:val="24"/>
          <w:szCs w:val="24"/>
        </w:rPr>
        <w:t>H, J-K, N</w:t>
      </w:r>
      <w:r w:rsidR="00282B40" w:rsidRPr="0075BCD0">
        <w:rPr>
          <w:rFonts w:ascii="Garamond" w:hAnsi="Garamond"/>
          <w:sz w:val="24"/>
          <w:szCs w:val="24"/>
        </w:rPr>
        <w:t xml:space="preserve"> associated with </w:t>
      </w:r>
      <w:r w:rsidR="00C82F4E" w:rsidRPr="0075BCD0">
        <w:rPr>
          <w:rFonts w:ascii="Garamond" w:hAnsi="Garamond"/>
          <w:i/>
          <w:iCs/>
          <w:sz w:val="24"/>
          <w:szCs w:val="24"/>
        </w:rPr>
        <w:t>Row 8 and greater</w:t>
      </w:r>
      <w:r w:rsidRPr="0075BCD0">
        <w:rPr>
          <w:rFonts w:ascii="Garamond" w:hAnsi="Garamond"/>
          <w:sz w:val="24"/>
          <w:szCs w:val="24"/>
        </w:rPr>
        <w:t xml:space="preserve">) for all years </w:t>
      </w:r>
      <w:r w:rsidRPr="007003DD">
        <w:rPr>
          <w:rFonts w:ascii="Garamond" w:hAnsi="Garamond"/>
          <w:sz w:val="24"/>
          <w:szCs w:val="24"/>
        </w:rPr>
        <w:t>(20</w:t>
      </w:r>
      <w:r w:rsidR="43D95E77" w:rsidRPr="007003DD">
        <w:rPr>
          <w:rFonts w:ascii="Garamond" w:hAnsi="Garamond"/>
          <w:sz w:val="24"/>
          <w:szCs w:val="24"/>
        </w:rPr>
        <w:t>2</w:t>
      </w:r>
      <w:r w:rsidR="009D6097">
        <w:rPr>
          <w:rFonts w:ascii="Garamond" w:hAnsi="Garamond"/>
          <w:sz w:val="24"/>
          <w:szCs w:val="24"/>
        </w:rPr>
        <w:t>1</w:t>
      </w:r>
      <w:r w:rsidRPr="007003DD">
        <w:rPr>
          <w:rFonts w:ascii="Garamond" w:hAnsi="Garamond"/>
          <w:sz w:val="24"/>
          <w:szCs w:val="24"/>
        </w:rPr>
        <w:t>-</w:t>
      </w:r>
      <w:r w:rsidR="00482F0A" w:rsidRPr="007003DD">
        <w:rPr>
          <w:rFonts w:ascii="Garamond" w:hAnsi="Garamond"/>
          <w:sz w:val="24"/>
          <w:szCs w:val="24"/>
        </w:rPr>
        <w:t>20</w:t>
      </w:r>
      <w:r w:rsidR="006045A9" w:rsidRPr="007003DD">
        <w:rPr>
          <w:rFonts w:ascii="Garamond" w:hAnsi="Garamond"/>
          <w:sz w:val="24"/>
          <w:szCs w:val="24"/>
        </w:rPr>
        <w:t>2</w:t>
      </w:r>
      <w:r w:rsidR="007003DD" w:rsidRPr="007003DD">
        <w:rPr>
          <w:rFonts w:ascii="Garamond" w:hAnsi="Garamond"/>
          <w:sz w:val="24"/>
          <w:szCs w:val="24"/>
        </w:rPr>
        <w:t>4</w:t>
      </w:r>
      <w:r w:rsidRPr="0075BCD0">
        <w:rPr>
          <w:rFonts w:ascii="Garamond" w:hAnsi="Garamond"/>
          <w:sz w:val="24"/>
          <w:szCs w:val="24"/>
        </w:rPr>
        <w:t>) that a</w:t>
      </w:r>
      <w:r w:rsidR="00FE0F7F" w:rsidRPr="0075BCD0">
        <w:rPr>
          <w:rFonts w:ascii="Garamond" w:hAnsi="Garamond"/>
          <w:sz w:val="24"/>
          <w:szCs w:val="24"/>
        </w:rPr>
        <w:t>n LSE</w:t>
      </w:r>
      <w:r w:rsidRPr="0075BCD0">
        <w:rPr>
          <w:rFonts w:ascii="Garamond" w:hAnsi="Garamond"/>
          <w:sz w:val="24"/>
          <w:szCs w:val="24"/>
        </w:rPr>
        <w:t xml:space="preserve"> has retired Renewable Energy Credits (RECs) </w:t>
      </w:r>
      <w:bookmarkEnd w:id="9"/>
      <w:r w:rsidR="00FE0F7F" w:rsidRPr="0075BCD0">
        <w:rPr>
          <w:rFonts w:ascii="Garamond" w:hAnsi="Garamond"/>
          <w:sz w:val="24"/>
          <w:szCs w:val="24"/>
        </w:rPr>
        <w:t>for CA RPS compliance.</w:t>
      </w:r>
    </w:p>
    <w:p w14:paraId="2B004CA4" w14:textId="1E8E668E" w:rsidR="21EBCFD6" w:rsidRDefault="21EBCFD6" w:rsidP="0075BCD0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75BCD0">
        <w:rPr>
          <w:rFonts w:ascii="Garamond" w:hAnsi="Garamond"/>
          <w:sz w:val="24"/>
          <w:szCs w:val="24"/>
          <w:u w:val="none"/>
        </w:rPr>
        <w:t>For the</w:t>
      </w:r>
      <w:r w:rsidR="14B2DA36" w:rsidRPr="0075BCD0">
        <w:rPr>
          <w:rFonts w:ascii="Garamond" w:hAnsi="Garamond"/>
          <w:sz w:val="24"/>
          <w:szCs w:val="24"/>
          <w:u w:val="none"/>
        </w:rPr>
        <w:t xml:space="preserve"> </w:t>
      </w:r>
      <w:r w:rsidRPr="0075BCD0">
        <w:rPr>
          <w:rFonts w:ascii="Garamond" w:hAnsi="Garamond"/>
          <w:sz w:val="24"/>
          <w:szCs w:val="24"/>
          <w:u w:val="none"/>
        </w:rPr>
        <w:t xml:space="preserve">column entitled “RECs recorded in hourly e-tag Summary Report”, enter yes or no depending </w:t>
      </w:r>
      <w:r w:rsidR="2BC05145" w:rsidRPr="0075BCD0">
        <w:rPr>
          <w:rFonts w:ascii="Garamond" w:hAnsi="Garamond"/>
          <w:sz w:val="24"/>
          <w:szCs w:val="24"/>
          <w:u w:val="none"/>
        </w:rPr>
        <w:t>on if the associated RECs</w:t>
      </w:r>
      <w:r w:rsidR="533832E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 xml:space="preserve"> ha</w:t>
      </w:r>
      <w:r w:rsidR="33E2C3A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>ve</w:t>
      </w:r>
      <w:r w:rsidR="533832E7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 xml:space="preserve"> e-Tags </w:t>
      </w:r>
      <w:r w:rsidR="6421B0F0" w:rsidRPr="0075BCD0">
        <w:rPr>
          <w:rFonts w:ascii="Garamond" w:eastAsia="Garamond" w:hAnsi="Garamond" w:cs="Garamond"/>
          <w:color w:val="000000" w:themeColor="text1"/>
          <w:sz w:val="24"/>
          <w:szCs w:val="24"/>
          <w:u w:val="none"/>
        </w:rPr>
        <w:t>that are not tracked in the WREGIS system, or are improperly tagged in the WREGIS system</w:t>
      </w:r>
      <w:r w:rsidR="5B856B11" w:rsidRPr="0075BCD0">
        <w:rPr>
          <w:rFonts w:ascii="Garamond" w:hAnsi="Garamond"/>
          <w:sz w:val="24"/>
          <w:szCs w:val="24"/>
          <w:u w:val="none"/>
        </w:rPr>
        <w:t>.</w:t>
      </w:r>
      <w:r w:rsidRPr="0075BCD0">
        <w:rPr>
          <w:rFonts w:ascii="Garamond" w:hAnsi="Garamond"/>
          <w:sz w:val="24"/>
          <w:szCs w:val="24"/>
          <w:u w:val="none"/>
        </w:rPr>
        <w:t xml:space="preserve"> If any entries are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 marked as “yes”, the hourly e-tag Summary Report must be</w:t>
      </w:r>
      <w:r w:rsidR="5D05260E" w:rsidRPr="0075BCD0">
        <w:rPr>
          <w:rFonts w:ascii="Garamond" w:hAnsi="Garamond"/>
          <w:sz w:val="24"/>
          <w:szCs w:val="24"/>
          <w:u w:val="none"/>
        </w:rPr>
        <w:t xml:space="preserve"> completed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 </w:t>
      </w:r>
      <w:r w:rsidR="48AE513D" w:rsidRPr="0075BCD0">
        <w:rPr>
          <w:rFonts w:ascii="Garamond" w:hAnsi="Garamond"/>
          <w:sz w:val="24"/>
          <w:szCs w:val="24"/>
          <w:u w:val="none"/>
        </w:rPr>
        <w:t xml:space="preserve">and </w:t>
      </w:r>
      <w:r w:rsidR="6D4E205B" w:rsidRPr="0075BCD0">
        <w:rPr>
          <w:rFonts w:ascii="Garamond" w:hAnsi="Garamond"/>
          <w:sz w:val="24"/>
          <w:szCs w:val="24"/>
          <w:u w:val="none"/>
        </w:rPr>
        <w:t xml:space="preserve">submitted along with the </w:t>
      </w:r>
      <w:r w:rsidR="088D2FF1" w:rsidRPr="0075BCD0">
        <w:rPr>
          <w:rFonts w:ascii="Garamond" w:hAnsi="Garamond"/>
          <w:sz w:val="24"/>
          <w:szCs w:val="24"/>
          <w:u w:val="none"/>
        </w:rPr>
        <w:t>Compliance Report</w:t>
      </w:r>
      <w:r w:rsidR="26BC2118" w:rsidRPr="0075BCD0">
        <w:rPr>
          <w:rFonts w:ascii="Garamond" w:hAnsi="Garamond"/>
          <w:sz w:val="24"/>
          <w:szCs w:val="24"/>
          <w:u w:val="none"/>
        </w:rPr>
        <w:t xml:space="preserve">. </w:t>
      </w:r>
    </w:p>
    <w:p w14:paraId="644FD081" w14:textId="5799D6B5" w:rsidR="0A881AB4" w:rsidRDefault="0A881AB4" w:rsidP="0075BCD0">
      <w:pPr>
        <w:pStyle w:val="ListParagraph"/>
        <w:numPr>
          <w:ilvl w:val="1"/>
          <w:numId w:val="9"/>
        </w:numPr>
        <w:rPr>
          <w:rFonts w:ascii="Garamond" w:hAnsi="Garamond"/>
          <w:sz w:val="24"/>
          <w:szCs w:val="24"/>
        </w:rPr>
      </w:pPr>
      <w:r w:rsidRPr="0075BCD0">
        <w:rPr>
          <w:rFonts w:ascii="Garamond" w:hAnsi="Garamond"/>
          <w:sz w:val="24"/>
          <w:szCs w:val="24"/>
        </w:rPr>
        <w:t xml:space="preserve">For the column entitled “RECs recorded in Hourly Meter and e-tag Reconciliation Report?”, enter yes or no depending </w:t>
      </w:r>
      <w:r w:rsidR="7216C154" w:rsidRPr="0075BCD0">
        <w:rPr>
          <w:rFonts w:ascii="Garamond" w:hAnsi="Garamond"/>
          <w:sz w:val="24"/>
          <w:szCs w:val="24"/>
        </w:rPr>
        <w:t xml:space="preserve">on if the associated project is outside of California, seeking PCC 1 status, and utilizes a Dynamic Schedule Agreement and/or is scheduled on an Hourly or Sub-Hourly basis. </w:t>
      </w:r>
      <w:r w:rsidR="2BDECE58" w:rsidRPr="0075BCD0">
        <w:rPr>
          <w:rFonts w:ascii="Garamond" w:hAnsi="Garamond"/>
          <w:sz w:val="24"/>
          <w:szCs w:val="24"/>
        </w:rPr>
        <w:t xml:space="preserve">If any entries are marked as “yes”, the Hourly Meter and e-tag Reconciliation Report must be completed and submitted along with the Compliance Report. </w:t>
      </w:r>
    </w:p>
    <w:p w14:paraId="5D002CE0" w14:textId="3F0A3001" w:rsidR="2BDECE58" w:rsidRDefault="2BDECE58" w:rsidP="0075BCD0">
      <w:pPr>
        <w:pStyle w:val="ListParagraph"/>
        <w:numPr>
          <w:ilvl w:val="2"/>
          <w:numId w:val="9"/>
        </w:numPr>
        <w:rPr>
          <w:rFonts w:ascii="Garamond" w:hAnsi="Garamond"/>
          <w:sz w:val="24"/>
          <w:szCs w:val="24"/>
        </w:rPr>
      </w:pPr>
      <w:r w:rsidRPr="76C007A5">
        <w:rPr>
          <w:rFonts w:ascii="Garamond" w:hAnsi="Garamond"/>
          <w:sz w:val="24"/>
          <w:szCs w:val="24"/>
        </w:rPr>
        <w:t>Note that y</w:t>
      </w:r>
      <w:r w:rsidR="7216C154" w:rsidRPr="76C007A5">
        <w:rPr>
          <w:rFonts w:ascii="Garamond" w:hAnsi="Garamond"/>
          <w:sz w:val="24"/>
          <w:szCs w:val="24"/>
        </w:rPr>
        <w:t>ou do not need to submit t</w:t>
      </w:r>
      <w:r w:rsidR="4181BD9A" w:rsidRPr="76C007A5">
        <w:rPr>
          <w:rFonts w:ascii="Garamond" w:hAnsi="Garamond"/>
          <w:sz w:val="24"/>
          <w:szCs w:val="24"/>
        </w:rPr>
        <w:t>he Hourly Meter and e-tag Reconciliation Report</w:t>
      </w:r>
      <w:r w:rsidR="7216C154" w:rsidRPr="76C007A5">
        <w:rPr>
          <w:rFonts w:ascii="Garamond" w:hAnsi="Garamond"/>
          <w:sz w:val="24"/>
          <w:szCs w:val="24"/>
        </w:rPr>
        <w:t xml:space="preserve"> for projects that use a Pseudo Tie, are directly connected to a California Balancing Authority, or are not seeking PCC 1 status</w:t>
      </w:r>
      <w:r w:rsidR="0A881AB4" w:rsidRPr="76C007A5">
        <w:rPr>
          <w:rFonts w:ascii="Garamond" w:hAnsi="Garamond"/>
          <w:sz w:val="24"/>
          <w:szCs w:val="24"/>
        </w:rPr>
        <w:t xml:space="preserve">. If any entries are marked as “yes”, the hourly e-tag Summary Report must be completed and submitted along with the Compliance Report. </w:t>
      </w:r>
    </w:p>
    <w:p w14:paraId="4D47CF19" w14:textId="59A119D6" w:rsidR="4D85D50D" w:rsidRDefault="4D85D50D" w:rsidP="76C007A5">
      <w:pPr>
        <w:pStyle w:val="ListParagraph"/>
        <w:numPr>
          <w:ilvl w:val="1"/>
          <w:numId w:val="9"/>
        </w:numPr>
        <w:rPr>
          <w:rFonts w:ascii="Garamond" w:hAnsi="Garamond"/>
          <w:sz w:val="24"/>
          <w:szCs w:val="24"/>
        </w:rPr>
      </w:pPr>
      <w:r w:rsidRPr="0EBF0A37">
        <w:rPr>
          <w:rFonts w:ascii="Garamond" w:hAnsi="Garamond"/>
          <w:sz w:val="24"/>
          <w:szCs w:val="24"/>
        </w:rPr>
        <w:t>For the column entitled “RECs estimated due to WREGIS reporting issues?” (located in column R on the 2022-2024 retirement tabs), report the number of RECs expected to be retired for compliance. If WREGIS issues related to REC transfer, remainder, matching/unmatching, and/or other issues affected the number of retirements used for compliance, this number should reflect the amount expected to be retired for a given contract.</w:t>
      </w:r>
    </w:p>
    <w:p w14:paraId="52148270" w14:textId="46CE1FC2" w:rsidR="00494B0F" w:rsidRDefault="00E16858" w:rsidP="00494B0F">
      <w:pPr>
        <w:pStyle w:val="Heading2"/>
      </w:pPr>
      <w:r>
        <w:t xml:space="preserve">Data can be entered </w:t>
      </w:r>
      <w:r w:rsidR="00DA3917">
        <w:t>for the year 202</w:t>
      </w:r>
      <w:r w:rsidR="00487DAF">
        <w:t>5</w:t>
      </w:r>
      <w:r w:rsidR="00DA3917">
        <w:t xml:space="preserve"> as well</w:t>
      </w:r>
      <w:r w:rsidR="00D114D4">
        <w:t xml:space="preserve">; </w:t>
      </w:r>
      <w:r w:rsidR="00A97D3F">
        <w:t>column usage in the tab should</w:t>
      </w:r>
      <w:r w:rsidR="00D114D4">
        <w:t xml:space="preserve"> generally follow the rules for the years 2021-202</w:t>
      </w:r>
      <w:r w:rsidR="00977D6F">
        <w:t>4</w:t>
      </w:r>
    </w:p>
    <w:p w14:paraId="1BFF1EBC" w14:textId="53E8B5F2" w:rsidR="00951135" w:rsidRPr="002D6146" w:rsidRDefault="00951135" w:rsidP="002D6146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002D6146">
        <w:rPr>
          <w:rFonts w:ascii="Garamond" w:hAnsi="Garamond"/>
          <w:sz w:val="24"/>
          <w:szCs w:val="24"/>
          <w:u w:val="none"/>
        </w:rPr>
        <w:t xml:space="preserve">Usage should be </w:t>
      </w:r>
      <w:r w:rsidR="0029306A" w:rsidRPr="002D6146">
        <w:rPr>
          <w:rFonts w:ascii="Garamond" w:hAnsi="Garamond"/>
          <w:sz w:val="24"/>
          <w:szCs w:val="24"/>
          <w:u w:val="none"/>
        </w:rPr>
        <w:t xml:space="preserve">either for </w:t>
      </w:r>
      <w:r w:rsidR="000B7D28">
        <w:rPr>
          <w:rFonts w:ascii="Garamond" w:hAnsi="Garamond"/>
          <w:sz w:val="24"/>
          <w:szCs w:val="24"/>
          <w:u w:val="none"/>
        </w:rPr>
        <w:t>addressing RECs affected by WREGIS reporting issues</w:t>
      </w:r>
      <w:r w:rsidR="0029306A" w:rsidRPr="002D6146">
        <w:rPr>
          <w:rFonts w:ascii="Garamond" w:hAnsi="Garamond"/>
          <w:sz w:val="24"/>
          <w:szCs w:val="24"/>
          <w:u w:val="none"/>
        </w:rPr>
        <w:t xml:space="preserve"> or </w:t>
      </w:r>
      <w:r w:rsidR="000B7D28">
        <w:rPr>
          <w:rFonts w:ascii="Garamond" w:hAnsi="Garamond"/>
          <w:sz w:val="24"/>
          <w:szCs w:val="24"/>
          <w:u w:val="none"/>
        </w:rPr>
        <w:t>reporting</w:t>
      </w:r>
      <w:r w:rsidR="004F7990">
        <w:rPr>
          <w:rFonts w:ascii="Garamond" w:hAnsi="Garamond"/>
          <w:sz w:val="24"/>
          <w:szCs w:val="24"/>
          <w:u w:val="none"/>
        </w:rPr>
        <w:t xml:space="preserve"> planned</w:t>
      </w:r>
      <w:r w:rsidR="000B7D28">
        <w:rPr>
          <w:rFonts w:ascii="Garamond" w:hAnsi="Garamond"/>
          <w:sz w:val="24"/>
          <w:szCs w:val="24"/>
          <w:u w:val="none"/>
        </w:rPr>
        <w:t xml:space="preserve"> </w:t>
      </w:r>
      <w:r w:rsidR="0029306A" w:rsidRPr="002D6146">
        <w:rPr>
          <w:rFonts w:ascii="Garamond" w:hAnsi="Garamond"/>
          <w:sz w:val="24"/>
          <w:szCs w:val="24"/>
          <w:u w:val="none"/>
        </w:rPr>
        <w:t xml:space="preserve">retirements in excess of the amount </w:t>
      </w:r>
      <w:r w:rsidR="00DB1A5A">
        <w:rPr>
          <w:rFonts w:ascii="Garamond" w:hAnsi="Garamond"/>
          <w:sz w:val="24"/>
          <w:szCs w:val="24"/>
          <w:u w:val="none"/>
        </w:rPr>
        <w:t>reported for the year on the Contract Details tab</w:t>
      </w:r>
      <w:r w:rsidR="00B7705F">
        <w:rPr>
          <w:rFonts w:ascii="Garamond" w:hAnsi="Garamond"/>
          <w:sz w:val="24"/>
          <w:szCs w:val="24"/>
          <w:u w:val="none"/>
        </w:rPr>
        <w:t xml:space="preserve"> </w:t>
      </w:r>
      <w:r w:rsidR="000E0F55">
        <w:rPr>
          <w:rFonts w:ascii="Garamond" w:hAnsi="Garamond"/>
          <w:sz w:val="24"/>
          <w:szCs w:val="24"/>
          <w:u w:val="none"/>
        </w:rPr>
        <w:t>(such as due to REC retirement timing)</w:t>
      </w:r>
    </w:p>
    <w:p w14:paraId="3F198E7D" w14:textId="6391D01A" w:rsidR="66696D4F" w:rsidRPr="002D6146" w:rsidRDefault="00A961F6" w:rsidP="002D6146">
      <w:pPr>
        <w:pStyle w:val="Heading2"/>
        <w:numPr>
          <w:ilvl w:val="1"/>
          <w:numId w:val="9"/>
        </w:numPr>
        <w:spacing w:line="240" w:lineRule="auto"/>
        <w:rPr>
          <w:rFonts w:ascii="Garamond" w:hAnsi="Garamond"/>
          <w:sz w:val="24"/>
          <w:szCs w:val="24"/>
          <w:u w:val="none"/>
        </w:rPr>
      </w:pPr>
      <w:r w:rsidRPr="4CD5C675">
        <w:rPr>
          <w:rFonts w:ascii="Garamond" w:hAnsi="Garamond"/>
          <w:b/>
          <w:bCs/>
          <w:color w:val="FF0000"/>
          <w:sz w:val="24"/>
          <w:szCs w:val="24"/>
          <w:u w:val="none"/>
        </w:rPr>
        <w:t>Note</w:t>
      </w:r>
      <w:r w:rsidRPr="4CD5C675">
        <w:rPr>
          <w:rFonts w:ascii="Garamond" w:hAnsi="Garamond"/>
          <w:sz w:val="24"/>
          <w:szCs w:val="24"/>
          <w:u w:val="none"/>
        </w:rPr>
        <w:t xml:space="preserve">: Any RECs entered </w:t>
      </w:r>
      <w:r w:rsidR="001E1EB7" w:rsidRPr="4CD5C675">
        <w:rPr>
          <w:rFonts w:ascii="Garamond" w:hAnsi="Garamond"/>
          <w:sz w:val="24"/>
          <w:szCs w:val="24"/>
          <w:u w:val="none"/>
        </w:rPr>
        <w:t xml:space="preserve">in the </w:t>
      </w:r>
      <w:r w:rsidR="00D53A1B" w:rsidRPr="4CD5C675">
        <w:rPr>
          <w:rFonts w:ascii="Garamond" w:hAnsi="Garamond"/>
          <w:sz w:val="24"/>
          <w:szCs w:val="24"/>
          <w:u w:val="none"/>
        </w:rPr>
        <w:t>36-month retirement tab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 xml:space="preserve"> are cumulative with the amount reported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 xml:space="preserve"> in the Contract Details tab.  As such, the number of RECs reported </w:t>
      </w:r>
      <w:r w:rsidR="00D53A1B" w:rsidRPr="4CD5C675">
        <w:rPr>
          <w:rFonts w:ascii="Garamond" w:hAnsi="Garamond"/>
          <w:sz w:val="24"/>
          <w:szCs w:val="24"/>
          <w:u w:val="none"/>
        </w:rPr>
        <w:t>in the 36-month retirement tab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="00144A15" w:rsidRPr="4CD5C675">
        <w:rPr>
          <w:rFonts w:ascii="Garamond" w:hAnsi="Garamond"/>
          <w:sz w:val="24"/>
          <w:szCs w:val="24"/>
          <w:u w:val="none"/>
        </w:rPr>
        <w:t>are to report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="006238CF" w:rsidRPr="4CD5C675">
        <w:rPr>
          <w:rFonts w:ascii="Garamond" w:hAnsi="Garamond"/>
          <w:sz w:val="24"/>
          <w:szCs w:val="24"/>
          <w:u w:val="none"/>
        </w:rPr>
        <w:t>retirements</w:t>
      </w:r>
      <w:r w:rsidRPr="4CD5C675">
        <w:rPr>
          <w:rFonts w:ascii="Garamond" w:hAnsi="Garamond"/>
          <w:sz w:val="24"/>
          <w:szCs w:val="24"/>
          <w:u w:val="none"/>
        </w:rPr>
        <w:t xml:space="preserve"> </w:t>
      </w:r>
      <w:r w:rsidRPr="4CD5C675">
        <w:rPr>
          <w:rFonts w:ascii="Garamond" w:hAnsi="Garamond"/>
          <w:sz w:val="24"/>
          <w:szCs w:val="24"/>
        </w:rPr>
        <w:t>in excess of</w:t>
      </w:r>
      <w:r w:rsidRPr="4CD5C675">
        <w:rPr>
          <w:rFonts w:ascii="Garamond" w:hAnsi="Garamond"/>
          <w:sz w:val="24"/>
          <w:szCs w:val="24"/>
          <w:u w:val="none"/>
        </w:rPr>
        <w:t xml:space="preserve"> the</w:t>
      </w:r>
      <w:r w:rsidR="006238CF" w:rsidRPr="4CD5C675">
        <w:rPr>
          <w:rFonts w:ascii="Garamond" w:hAnsi="Garamond"/>
          <w:sz w:val="24"/>
          <w:szCs w:val="24"/>
          <w:u w:val="none"/>
        </w:rPr>
        <w:t xml:space="preserve"> procurement</w:t>
      </w:r>
      <w:r w:rsidRPr="4CD5C675">
        <w:rPr>
          <w:rFonts w:ascii="Garamond" w:hAnsi="Garamond"/>
          <w:sz w:val="24"/>
          <w:szCs w:val="24"/>
          <w:u w:val="none"/>
        </w:rPr>
        <w:t xml:space="preserve"> amount reported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 xml:space="preserve"> in the Contract Details tab of the Report. RECs</w:t>
      </w:r>
      <w:r w:rsidR="004346FA" w:rsidRPr="4CD5C675">
        <w:rPr>
          <w:rFonts w:ascii="Garamond" w:hAnsi="Garamond"/>
          <w:sz w:val="24"/>
          <w:szCs w:val="24"/>
          <w:u w:val="none"/>
        </w:rPr>
        <w:t xml:space="preserve"> in the </w:t>
      </w:r>
      <w:r w:rsidR="00E04058" w:rsidRPr="4CD5C675">
        <w:rPr>
          <w:rFonts w:ascii="Garamond" w:hAnsi="Garamond"/>
          <w:sz w:val="24"/>
          <w:szCs w:val="24"/>
          <w:u w:val="none"/>
        </w:rPr>
        <w:t>36-month retirement tab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 xml:space="preserve"> reported </w:t>
      </w:r>
      <w:r w:rsidR="00AB0E84" w:rsidRPr="4CD5C675">
        <w:rPr>
          <w:rFonts w:ascii="Garamond" w:hAnsi="Garamond"/>
          <w:sz w:val="24"/>
          <w:szCs w:val="24"/>
          <w:u w:val="none"/>
        </w:rPr>
        <w:t>must</w:t>
      </w:r>
      <w:r w:rsidRPr="4CD5C675">
        <w:rPr>
          <w:rFonts w:ascii="Garamond" w:hAnsi="Garamond"/>
          <w:sz w:val="24"/>
          <w:szCs w:val="24"/>
          <w:u w:val="none"/>
        </w:rPr>
        <w:t xml:space="preserve"> NOT duplicate those reported in the Contract Details tab</w:t>
      </w:r>
      <w:r w:rsidR="00E04058" w:rsidRPr="4CD5C675">
        <w:rPr>
          <w:rFonts w:ascii="Garamond" w:hAnsi="Garamond"/>
          <w:sz w:val="24"/>
          <w:szCs w:val="24"/>
          <w:u w:val="none"/>
        </w:rPr>
        <w:t xml:space="preserve"> for 202</w:t>
      </w:r>
      <w:r w:rsidR="00977D6F">
        <w:rPr>
          <w:rFonts w:ascii="Garamond" w:hAnsi="Garamond"/>
          <w:sz w:val="24"/>
          <w:szCs w:val="24"/>
          <w:u w:val="none"/>
        </w:rPr>
        <w:t>5</w:t>
      </w:r>
      <w:r w:rsidRPr="4CD5C675">
        <w:rPr>
          <w:rFonts w:ascii="Garamond" w:hAnsi="Garamond"/>
          <w:sz w:val="24"/>
          <w:szCs w:val="24"/>
          <w:u w:val="none"/>
        </w:rPr>
        <w:t>, otherwise the RECs will be double counted.</w:t>
      </w:r>
    </w:p>
    <w:p w14:paraId="79A476BC" w14:textId="5B752384" w:rsidR="00311353" w:rsidRDefault="00332095" w:rsidP="0EBF0A37">
      <w:pPr>
        <w:pStyle w:val="Heading3"/>
        <w:numPr>
          <w:ilvl w:val="1"/>
          <w:numId w:val="0"/>
        </w:numPr>
        <w:spacing w:line="240" w:lineRule="auto"/>
        <w:ind w:left="360"/>
        <w:rPr>
          <w:rFonts w:ascii="Garamond" w:hAnsi="Garamond"/>
          <w:sz w:val="24"/>
          <w:szCs w:val="24"/>
          <w:u w:val="none"/>
        </w:rPr>
      </w:pPr>
      <w:bookmarkStart w:id="10" w:name="_Toc520889050"/>
      <w:r w:rsidRPr="0EBF0A37">
        <w:rPr>
          <w:rFonts w:ascii="Garamond" w:hAnsi="Garamond"/>
          <w:sz w:val="24"/>
          <w:szCs w:val="24"/>
          <w:u w:val="none"/>
        </w:rPr>
        <w:t xml:space="preserve">If this data has already been inserted into a prior version of the RPS compliance report template, </w:t>
      </w:r>
      <w:r w:rsidR="0018048A" w:rsidRPr="0EBF0A37">
        <w:rPr>
          <w:rFonts w:ascii="Garamond" w:hAnsi="Garamond"/>
          <w:sz w:val="24"/>
          <w:szCs w:val="24"/>
          <w:u w:val="none"/>
        </w:rPr>
        <w:t xml:space="preserve">LSEs </w:t>
      </w:r>
      <w:r w:rsidRPr="0EBF0A37">
        <w:rPr>
          <w:rFonts w:ascii="Garamond" w:hAnsi="Garamond"/>
          <w:sz w:val="24"/>
          <w:szCs w:val="24"/>
          <w:u w:val="none"/>
        </w:rPr>
        <w:t>may copy and paste these values (</w:t>
      </w:r>
      <w:r w:rsidR="00544489" w:rsidRPr="0EBF0A37">
        <w:rPr>
          <w:rFonts w:ascii="Garamond" w:hAnsi="Garamond"/>
          <w:i/>
          <w:iCs/>
          <w:sz w:val="24"/>
          <w:szCs w:val="24"/>
          <w:u w:val="none"/>
        </w:rPr>
        <w:t>Column</w:t>
      </w:r>
      <w:r w:rsidRPr="0EBF0A37">
        <w:rPr>
          <w:rFonts w:ascii="Garamond" w:hAnsi="Garamond"/>
          <w:i/>
          <w:iCs/>
          <w:sz w:val="24"/>
          <w:szCs w:val="24"/>
          <w:u w:val="none"/>
        </w:rPr>
        <w:t>s B-H, J-K, N</w:t>
      </w:r>
      <w:r w:rsidR="00282B40" w:rsidRPr="0EBF0A37">
        <w:rPr>
          <w:rFonts w:ascii="Garamond" w:hAnsi="Garamond"/>
          <w:sz w:val="24"/>
          <w:szCs w:val="24"/>
          <w:u w:val="none"/>
        </w:rPr>
        <w:t xml:space="preserve"> associated with</w:t>
      </w:r>
      <w:r w:rsidR="00C82F4E" w:rsidRPr="0EBF0A37">
        <w:rPr>
          <w:rFonts w:ascii="Garamond" w:hAnsi="Garamond"/>
          <w:sz w:val="24"/>
          <w:szCs w:val="24"/>
          <w:u w:val="none"/>
        </w:rPr>
        <w:t xml:space="preserve"> </w:t>
      </w:r>
      <w:r w:rsidR="00C82F4E" w:rsidRPr="0EBF0A37">
        <w:rPr>
          <w:rFonts w:ascii="Garamond" w:hAnsi="Garamond"/>
          <w:i/>
          <w:iCs/>
          <w:sz w:val="24"/>
          <w:szCs w:val="24"/>
          <w:u w:val="none"/>
        </w:rPr>
        <w:t>Row 8 and greater</w:t>
      </w:r>
      <w:r w:rsidRPr="0EBF0A37">
        <w:rPr>
          <w:rFonts w:ascii="Garamond" w:hAnsi="Garamond"/>
          <w:sz w:val="24"/>
          <w:szCs w:val="24"/>
          <w:u w:val="none"/>
        </w:rPr>
        <w:t xml:space="preserve">) from </w:t>
      </w:r>
      <w:r w:rsidR="00544489" w:rsidRPr="0EBF0A37">
        <w:rPr>
          <w:rFonts w:ascii="Garamond" w:hAnsi="Garamond"/>
          <w:sz w:val="24"/>
          <w:szCs w:val="24"/>
          <w:u w:val="none"/>
        </w:rPr>
        <w:t>an</w:t>
      </w:r>
      <w:r w:rsidRPr="0EBF0A37">
        <w:rPr>
          <w:rFonts w:ascii="Garamond" w:hAnsi="Garamond"/>
          <w:sz w:val="24"/>
          <w:szCs w:val="24"/>
          <w:u w:val="none"/>
        </w:rPr>
        <w:t xml:space="preserve"> older version into the newest version.</w:t>
      </w:r>
      <w:bookmarkEnd w:id="10"/>
    </w:p>
    <w:p w14:paraId="401316AE" w14:textId="2217F956" w:rsidR="38DEEA51" w:rsidRDefault="00D22CE1" w:rsidP="38DEEA51">
      <w:r>
        <w:rPr>
          <w:noProof/>
        </w:rPr>
        <w:drawing>
          <wp:inline distT="0" distB="0" distL="0" distR="0" wp14:anchorId="03ACCF44" wp14:editId="04FE127D">
            <wp:extent cx="10887075" cy="3457575"/>
            <wp:effectExtent l="0" t="0" r="9525" b="9525"/>
            <wp:docPr id="11093753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70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E296D" w14:textId="21C21E30" w:rsidR="00311353" w:rsidRPr="00311353" w:rsidRDefault="00311353" w:rsidP="00311353">
      <w:r>
        <w:t xml:space="preserve">The 2021 </w:t>
      </w:r>
      <w:r w:rsidR="004A3A5B">
        <w:t xml:space="preserve">and future </w:t>
      </w:r>
      <w:r>
        <w:t>sheet</w:t>
      </w:r>
      <w:r w:rsidR="004A3A5B">
        <w:t>s</w:t>
      </w:r>
      <w:r>
        <w:t xml:space="preserve"> </w:t>
      </w:r>
      <w:r w:rsidR="004A3A5B">
        <w:t>do not</w:t>
      </w:r>
      <w:r>
        <w:t xml:space="preserve"> contain the </w:t>
      </w:r>
      <w:r w:rsidR="0081380C">
        <w:t>“</w:t>
      </w:r>
      <w:r>
        <w:t>Short Term Contract Eligibility</w:t>
      </w:r>
      <w:r w:rsidR="0081380C">
        <w:t>”</w:t>
      </w:r>
      <w:r>
        <w:t xml:space="preserve"> column, as it</w:t>
      </w:r>
      <w:r w:rsidR="00EB52E4">
        <w:t xml:space="preserve"> only appli</w:t>
      </w:r>
      <w:r w:rsidR="0081380C">
        <w:t>ed</w:t>
      </w:r>
      <w:r w:rsidR="00EB52E4">
        <w:t xml:space="preserve"> to 2017-2020 and earlier </w:t>
      </w:r>
      <w:r w:rsidR="004A3A5B">
        <w:t>C</w:t>
      </w:r>
      <w:r w:rsidR="00EB52E4">
        <w:t xml:space="preserve">ompliance </w:t>
      </w:r>
      <w:r w:rsidR="004A3A5B">
        <w:t>P</w:t>
      </w:r>
      <w:r w:rsidR="00EB52E4">
        <w:t>eriods</w:t>
      </w:r>
    </w:p>
    <w:p w14:paraId="1A4F32A5" w14:textId="49CCCF8F" w:rsidR="001A109C" w:rsidRPr="00C62215" w:rsidRDefault="001A109C" w:rsidP="76C007A5">
      <w:pPr>
        <w:spacing w:line="240" w:lineRule="auto"/>
        <w:jc w:val="center"/>
      </w:pPr>
    </w:p>
    <w:p w14:paraId="6B56B5FC" w14:textId="076DA9BA" w:rsidR="001A109C" w:rsidRPr="00C62215" w:rsidRDefault="001A109C" w:rsidP="76C007A5">
      <w:pPr>
        <w:spacing w:line="240" w:lineRule="auto"/>
        <w:sectPr w:rsidR="001A109C" w:rsidRPr="00C62215" w:rsidSect="00E0227A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89080C6" w14:textId="77777777" w:rsidR="001A109C" w:rsidRPr="00C62215" w:rsidRDefault="00C634ED" w:rsidP="0033394C">
      <w:pPr>
        <w:pStyle w:val="Heading1"/>
        <w:spacing w:line="240" w:lineRule="auto"/>
        <w:rPr>
          <w:rFonts w:ascii="Garamond" w:hAnsi="Garamond"/>
          <w:sz w:val="24"/>
          <w:szCs w:val="24"/>
        </w:rPr>
      </w:pPr>
      <w:bookmarkStart w:id="11" w:name="_Toc520889051"/>
      <w:r w:rsidRPr="00C62215">
        <w:rPr>
          <w:rFonts w:ascii="Garamond" w:hAnsi="Garamond"/>
          <w:sz w:val="24"/>
          <w:szCs w:val="24"/>
        </w:rPr>
        <w:t>Unique Inputs</w:t>
      </w:r>
      <w:bookmarkEnd w:id="11"/>
    </w:p>
    <w:p w14:paraId="5AA9326D" w14:textId="44183B23" w:rsidR="00C634ED" w:rsidRPr="00C62215" w:rsidRDefault="00C634ED" w:rsidP="0033394C">
      <w:pPr>
        <w:pStyle w:val="Heading2"/>
        <w:numPr>
          <w:ilvl w:val="0"/>
          <w:numId w:val="11"/>
        </w:numPr>
        <w:spacing w:line="240" w:lineRule="auto"/>
        <w:rPr>
          <w:rFonts w:ascii="Garamond" w:hAnsi="Garamond"/>
          <w:sz w:val="24"/>
          <w:szCs w:val="24"/>
        </w:rPr>
      </w:pPr>
      <w:bookmarkStart w:id="12" w:name="_Toc520889052"/>
      <w:r w:rsidRPr="00C62215">
        <w:rPr>
          <w:rFonts w:ascii="Garamond" w:hAnsi="Garamond"/>
          <w:sz w:val="24"/>
          <w:szCs w:val="24"/>
        </w:rPr>
        <w:t>Insert data into l</w:t>
      </w:r>
      <w:r w:rsidR="00F27C4D">
        <w:rPr>
          <w:rFonts w:ascii="Garamond" w:hAnsi="Garamond"/>
          <w:sz w:val="24"/>
          <w:szCs w:val="24"/>
        </w:rPr>
        <w:t>ightly shaded</w:t>
      </w:r>
      <w:r w:rsidRPr="00C62215">
        <w:rPr>
          <w:rFonts w:ascii="Garamond" w:hAnsi="Garamond"/>
          <w:sz w:val="24"/>
          <w:szCs w:val="24"/>
        </w:rPr>
        <w:t xml:space="preserve"> cells (</w:t>
      </w:r>
      <w:r w:rsidR="00544489" w:rsidRPr="00C62215">
        <w:rPr>
          <w:rFonts w:ascii="Garamond" w:hAnsi="Garamond"/>
          <w:i/>
          <w:sz w:val="24"/>
          <w:szCs w:val="24"/>
        </w:rPr>
        <w:t>Column</w:t>
      </w:r>
      <w:r w:rsidRPr="00C62215">
        <w:rPr>
          <w:rFonts w:ascii="Garamond" w:hAnsi="Garamond"/>
          <w:i/>
          <w:sz w:val="24"/>
          <w:szCs w:val="24"/>
        </w:rPr>
        <w:t>s C-</w:t>
      </w:r>
      <w:r w:rsidR="006A4CE7">
        <w:rPr>
          <w:rFonts w:ascii="Garamond" w:hAnsi="Garamond"/>
          <w:i/>
          <w:sz w:val="24"/>
          <w:szCs w:val="24"/>
        </w:rPr>
        <w:t>S</w:t>
      </w:r>
      <w:r w:rsidR="00282B40" w:rsidRPr="00C62215">
        <w:rPr>
          <w:rFonts w:ascii="Garamond" w:hAnsi="Garamond"/>
          <w:sz w:val="24"/>
          <w:szCs w:val="24"/>
        </w:rPr>
        <w:t xml:space="preserve"> associated with</w:t>
      </w:r>
      <w:r w:rsidR="00C82F4E" w:rsidRPr="00C62215">
        <w:rPr>
          <w:rFonts w:ascii="Garamond" w:hAnsi="Garamond"/>
          <w:sz w:val="24"/>
          <w:szCs w:val="24"/>
        </w:rPr>
        <w:t xml:space="preserve"> </w:t>
      </w:r>
      <w:r w:rsidR="00C82F4E" w:rsidRPr="00C62215">
        <w:rPr>
          <w:rFonts w:ascii="Garamond" w:hAnsi="Garamond"/>
          <w:i/>
          <w:sz w:val="24"/>
          <w:szCs w:val="24"/>
        </w:rPr>
        <w:t>Rows 10, 14,</w:t>
      </w:r>
      <w:r w:rsidR="0037376A">
        <w:rPr>
          <w:rFonts w:ascii="Garamond" w:hAnsi="Garamond"/>
          <w:i/>
          <w:sz w:val="24"/>
          <w:szCs w:val="24"/>
        </w:rPr>
        <w:t xml:space="preserve"> 27-31</w:t>
      </w:r>
      <w:r w:rsidR="00C82F4E" w:rsidRPr="00C62215">
        <w:rPr>
          <w:rFonts w:ascii="Garamond" w:hAnsi="Garamond"/>
          <w:i/>
          <w:sz w:val="24"/>
          <w:szCs w:val="24"/>
        </w:rPr>
        <w:t>, 4</w:t>
      </w:r>
      <w:r w:rsidR="0037376A">
        <w:rPr>
          <w:rFonts w:ascii="Garamond" w:hAnsi="Garamond"/>
          <w:i/>
          <w:sz w:val="24"/>
          <w:szCs w:val="24"/>
        </w:rPr>
        <w:t>2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37376A">
        <w:rPr>
          <w:rFonts w:ascii="Garamond" w:hAnsi="Garamond"/>
          <w:i/>
          <w:sz w:val="24"/>
          <w:szCs w:val="24"/>
        </w:rPr>
        <w:t>46</w:t>
      </w:r>
      <w:r w:rsidR="00C82F4E" w:rsidRPr="00C62215">
        <w:rPr>
          <w:rFonts w:ascii="Garamond" w:hAnsi="Garamond"/>
          <w:i/>
          <w:sz w:val="24"/>
          <w:szCs w:val="24"/>
        </w:rPr>
        <w:t xml:space="preserve">, </w:t>
      </w:r>
      <w:r w:rsidR="00845612">
        <w:rPr>
          <w:rFonts w:ascii="Garamond" w:hAnsi="Garamond"/>
          <w:i/>
          <w:sz w:val="24"/>
          <w:szCs w:val="24"/>
        </w:rPr>
        <w:t>58</w:t>
      </w:r>
      <w:r w:rsidR="00C82F4E" w:rsidRPr="00C62215">
        <w:rPr>
          <w:rFonts w:ascii="Garamond" w:hAnsi="Garamond"/>
          <w:i/>
          <w:sz w:val="24"/>
          <w:szCs w:val="24"/>
        </w:rPr>
        <w:t>-</w:t>
      </w:r>
      <w:r w:rsidR="00845612">
        <w:rPr>
          <w:rFonts w:ascii="Garamond" w:hAnsi="Garamond"/>
          <w:i/>
          <w:sz w:val="24"/>
          <w:szCs w:val="24"/>
        </w:rPr>
        <w:t>60</w:t>
      </w:r>
      <w:r w:rsidRPr="00C62215">
        <w:rPr>
          <w:rFonts w:ascii="Garamond" w:hAnsi="Garamond"/>
          <w:sz w:val="24"/>
          <w:szCs w:val="24"/>
        </w:rPr>
        <w:t>) for all years that a</w:t>
      </w:r>
      <w:r w:rsidR="00845612">
        <w:rPr>
          <w:rFonts w:ascii="Garamond" w:hAnsi="Garamond"/>
          <w:sz w:val="24"/>
          <w:szCs w:val="24"/>
        </w:rPr>
        <w:t>n LSE</w:t>
      </w:r>
      <w:r w:rsidRPr="00C62215">
        <w:rPr>
          <w:rFonts w:ascii="Garamond" w:hAnsi="Garamond"/>
          <w:sz w:val="24"/>
          <w:szCs w:val="24"/>
        </w:rPr>
        <w:t xml:space="preserve"> has been in operation and for all forecasted years (20</w:t>
      </w:r>
      <w:r w:rsidR="00845612">
        <w:rPr>
          <w:rFonts w:ascii="Garamond" w:hAnsi="Garamond"/>
          <w:sz w:val="24"/>
          <w:szCs w:val="24"/>
        </w:rPr>
        <w:t>20</w:t>
      </w:r>
      <w:r w:rsidRPr="00C62215">
        <w:rPr>
          <w:rFonts w:ascii="Garamond" w:hAnsi="Garamond"/>
          <w:sz w:val="24"/>
          <w:szCs w:val="24"/>
        </w:rPr>
        <w:t>-2030).</w:t>
      </w:r>
      <w:bookmarkEnd w:id="12"/>
    </w:p>
    <w:p w14:paraId="28005B3D" w14:textId="5310300F" w:rsidR="001A109C" w:rsidRPr="00C62215" w:rsidRDefault="00C634ED" w:rsidP="0033394C">
      <w:pPr>
        <w:pStyle w:val="Heading3"/>
        <w:spacing w:line="240" w:lineRule="auto"/>
        <w:rPr>
          <w:rFonts w:ascii="Garamond" w:hAnsi="Garamond"/>
          <w:sz w:val="24"/>
          <w:szCs w:val="24"/>
          <w:u w:val="none"/>
        </w:rPr>
      </w:pPr>
      <w:bookmarkStart w:id="13" w:name="_Toc520889053"/>
      <w:r w:rsidRPr="00C62215">
        <w:rPr>
          <w:rFonts w:ascii="Garamond" w:hAnsi="Garamond"/>
          <w:sz w:val="24"/>
          <w:szCs w:val="24"/>
          <w:u w:val="none"/>
        </w:rPr>
        <w:t>If this data has already been inserted into a prior version of the RPS compliance report template, parties may copy and paste these unique inputs from the older version into the newest version.</w:t>
      </w:r>
      <w:bookmarkEnd w:id="13"/>
    </w:p>
    <w:p w14:paraId="30B8EC42" w14:textId="3CF5686D" w:rsidR="00C634ED" w:rsidRPr="00C62215" w:rsidRDefault="00C634ED" w:rsidP="0033394C">
      <w:pPr>
        <w:pStyle w:val="Heading2"/>
        <w:spacing w:line="240" w:lineRule="auto"/>
        <w:rPr>
          <w:rFonts w:ascii="Garamond" w:hAnsi="Garamond"/>
          <w:sz w:val="24"/>
          <w:szCs w:val="24"/>
        </w:rPr>
      </w:pPr>
      <w:bookmarkStart w:id="14" w:name="_Toc520889054"/>
      <w:r w:rsidRPr="0EBF0A37">
        <w:rPr>
          <w:rFonts w:ascii="Garamond" w:hAnsi="Garamond"/>
          <w:sz w:val="24"/>
          <w:szCs w:val="24"/>
        </w:rPr>
        <w:t>Once a party has inserte</w:t>
      </w:r>
      <w:r w:rsidR="0033394C" w:rsidRPr="0EBF0A37">
        <w:rPr>
          <w:rFonts w:ascii="Garamond" w:hAnsi="Garamond"/>
          <w:sz w:val="24"/>
          <w:szCs w:val="24"/>
        </w:rPr>
        <w:t>d data referenced in S</w:t>
      </w:r>
      <w:r w:rsidR="0031193C" w:rsidRPr="0EBF0A37">
        <w:rPr>
          <w:rFonts w:ascii="Garamond" w:hAnsi="Garamond"/>
          <w:sz w:val="24"/>
          <w:szCs w:val="24"/>
        </w:rPr>
        <w:t xml:space="preserve">ections I, III, and </w:t>
      </w:r>
      <w:r w:rsidRPr="0EBF0A37">
        <w:rPr>
          <w:rFonts w:ascii="Garamond" w:hAnsi="Garamond"/>
          <w:sz w:val="24"/>
          <w:szCs w:val="24"/>
        </w:rPr>
        <w:t xml:space="preserve">IV above, </w:t>
      </w:r>
      <w:r w:rsidR="0023671A" w:rsidRPr="0EBF0A37">
        <w:rPr>
          <w:rFonts w:ascii="Garamond" w:hAnsi="Garamond"/>
          <w:sz w:val="24"/>
          <w:szCs w:val="24"/>
        </w:rPr>
        <w:t>LSEs</w:t>
      </w:r>
      <w:r w:rsidRPr="0EBF0A37">
        <w:rPr>
          <w:rFonts w:ascii="Garamond" w:hAnsi="Garamond"/>
          <w:sz w:val="24"/>
          <w:szCs w:val="24"/>
        </w:rPr>
        <w:t xml:space="preserve"> </w:t>
      </w:r>
      <w:r w:rsidR="00544489" w:rsidRPr="0EBF0A37">
        <w:rPr>
          <w:rFonts w:ascii="Garamond" w:hAnsi="Garamond"/>
          <w:sz w:val="24"/>
          <w:szCs w:val="24"/>
        </w:rPr>
        <w:t xml:space="preserve">will have </w:t>
      </w:r>
      <w:r w:rsidRPr="0EBF0A37">
        <w:rPr>
          <w:rFonts w:ascii="Garamond" w:hAnsi="Garamond"/>
          <w:sz w:val="24"/>
          <w:szCs w:val="24"/>
        </w:rPr>
        <w:t>the abil</w:t>
      </w:r>
      <w:r w:rsidR="00544489" w:rsidRPr="0EBF0A37">
        <w:rPr>
          <w:rFonts w:ascii="Garamond" w:hAnsi="Garamond"/>
          <w:sz w:val="24"/>
          <w:szCs w:val="24"/>
        </w:rPr>
        <w:t xml:space="preserve">ity to see the impact of </w:t>
      </w:r>
      <w:r w:rsidRPr="0EBF0A37">
        <w:rPr>
          <w:rFonts w:ascii="Garamond" w:hAnsi="Garamond"/>
          <w:sz w:val="24"/>
          <w:szCs w:val="24"/>
        </w:rPr>
        <w:t>decision</w:t>
      </w:r>
      <w:r w:rsidR="0031193C" w:rsidRPr="0EBF0A37">
        <w:rPr>
          <w:rFonts w:ascii="Garamond" w:hAnsi="Garamond"/>
          <w:sz w:val="24"/>
          <w:szCs w:val="24"/>
        </w:rPr>
        <w:t>s</w:t>
      </w:r>
      <w:r w:rsidR="00544489" w:rsidRPr="0EBF0A37">
        <w:rPr>
          <w:rFonts w:ascii="Garamond" w:hAnsi="Garamond"/>
          <w:sz w:val="24"/>
          <w:szCs w:val="24"/>
        </w:rPr>
        <w:t xml:space="preserve"> related to banked RECs and excess procurement</w:t>
      </w:r>
      <w:r w:rsidR="0031193C" w:rsidRPr="0EBF0A37">
        <w:rPr>
          <w:rFonts w:ascii="Garamond" w:hAnsi="Garamond"/>
          <w:sz w:val="24"/>
          <w:szCs w:val="24"/>
        </w:rPr>
        <w:t>.</w:t>
      </w:r>
      <w:bookmarkEnd w:id="14"/>
    </w:p>
    <w:p w14:paraId="51E2B662" w14:textId="52B78F88" w:rsidR="00470677" w:rsidRDefault="003E3303" w:rsidP="0EBF0A37">
      <w:pPr>
        <w:spacing w:line="240" w:lineRule="auto"/>
      </w:pPr>
      <w:r>
        <w:rPr>
          <w:noProof/>
        </w:rPr>
        <w:drawing>
          <wp:inline distT="0" distB="0" distL="0" distR="0" wp14:anchorId="60889C94" wp14:editId="3E07F7BB">
            <wp:extent cx="7134225" cy="6477000"/>
            <wp:effectExtent l="0" t="0" r="9525" b="0"/>
            <wp:docPr id="2589723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0677" w:rsidSect="00E02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98E0" w14:textId="77777777" w:rsidR="00736231" w:rsidRDefault="00736231" w:rsidP="005B6220">
      <w:pPr>
        <w:spacing w:after="0" w:line="240" w:lineRule="auto"/>
      </w:pPr>
      <w:r>
        <w:separator/>
      </w:r>
    </w:p>
  </w:endnote>
  <w:endnote w:type="continuationSeparator" w:id="0">
    <w:p w14:paraId="51592051" w14:textId="77777777" w:rsidR="00736231" w:rsidRDefault="00736231" w:rsidP="005B6220">
      <w:pPr>
        <w:spacing w:after="0" w:line="240" w:lineRule="auto"/>
      </w:pPr>
      <w:r>
        <w:continuationSeparator/>
      </w:r>
    </w:p>
  </w:endnote>
  <w:endnote w:type="continuationNotice" w:id="1">
    <w:p w14:paraId="32BDBD9C" w14:textId="77777777" w:rsidR="00736231" w:rsidRDefault="007362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</w:rPr>
      <w:id w:val="2137605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ED4BA" w14:textId="77777777" w:rsidR="00655409" w:rsidRPr="00C62215" w:rsidRDefault="00655409">
        <w:pPr>
          <w:pStyle w:val="Footer"/>
          <w:jc w:val="center"/>
          <w:rPr>
            <w:rFonts w:ascii="Garamond" w:hAnsi="Garamond"/>
          </w:rPr>
        </w:pPr>
        <w:r w:rsidRPr="00C62215">
          <w:rPr>
            <w:rFonts w:ascii="Garamond" w:hAnsi="Garamond"/>
          </w:rPr>
          <w:fldChar w:fldCharType="begin"/>
        </w:r>
        <w:r w:rsidRPr="00C62215">
          <w:rPr>
            <w:rFonts w:ascii="Garamond" w:hAnsi="Garamond"/>
          </w:rPr>
          <w:instrText xml:space="preserve"> PAGE   \* MERGEFORMAT </w:instrText>
        </w:r>
        <w:r w:rsidRPr="00C62215">
          <w:rPr>
            <w:rFonts w:ascii="Garamond" w:hAnsi="Garamond"/>
          </w:rPr>
          <w:fldChar w:fldCharType="separate"/>
        </w:r>
        <w:r w:rsidRPr="00C62215">
          <w:rPr>
            <w:rFonts w:ascii="Garamond" w:hAnsi="Garamond"/>
            <w:noProof/>
          </w:rPr>
          <w:t>2</w:t>
        </w:r>
        <w:r w:rsidRPr="00C62215">
          <w:rPr>
            <w:rFonts w:ascii="Garamond" w:hAnsi="Garamond"/>
            <w:noProof/>
          </w:rPr>
          <w:fldChar w:fldCharType="end"/>
        </w:r>
      </w:p>
    </w:sdtContent>
  </w:sdt>
  <w:p w14:paraId="43D38F54" w14:textId="77777777" w:rsidR="00655409" w:rsidRPr="00C62215" w:rsidRDefault="00655409">
    <w:pPr>
      <w:pStyle w:val="Footer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6BFD" w14:textId="4B5C9685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California Public Utilities Commission</w:t>
    </w:r>
  </w:p>
  <w:p w14:paraId="3A075990" w14:textId="40459D04" w:rsidR="007B3445" w:rsidRPr="00CF4171" w:rsidRDefault="007B3445">
    <w:pPr>
      <w:pStyle w:val="Footer"/>
      <w:rPr>
        <w:rFonts w:ascii="Garamond" w:hAnsi="Garamond"/>
      </w:rPr>
    </w:pPr>
    <w:r w:rsidRPr="00CF4171">
      <w:rPr>
        <w:rFonts w:ascii="Garamond" w:hAnsi="Garamond"/>
      </w:rPr>
      <w:t>Energy Division</w:t>
    </w:r>
  </w:p>
  <w:p w14:paraId="49A56BE2" w14:textId="10A73428" w:rsidR="007B3445" w:rsidRPr="00CF4171" w:rsidRDefault="00103B21">
    <w:pPr>
      <w:pStyle w:val="Footer"/>
      <w:rPr>
        <w:rFonts w:ascii="Garamond" w:hAnsi="Garamond"/>
      </w:rPr>
    </w:pPr>
    <w:r>
      <w:rPr>
        <w:rFonts w:ascii="Garamond" w:hAnsi="Garamond"/>
      </w:rPr>
      <w:t xml:space="preserve">Issued: </w:t>
    </w:r>
    <w:r w:rsidR="00382D32">
      <w:rPr>
        <w:rFonts w:ascii="Garamond" w:hAnsi="Garamond"/>
      </w:rPr>
      <w:t>June</w:t>
    </w:r>
    <w:r>
      <w:rPr>
        <w:rFonts w:ascii="Garamond" w:hAnsi="Garamond"/>
      </w:rPr>
      <w:t xml:space="preserve"> </w:t>
    </w:r>
    <w:r w:rsidR="00F518FD">
      <w:rPr>
        <w:rFonts w:ascii="Garamond" w:hAnsi="Garamond"/>
      </w:rPr>
      <w:t>5</w:t>
    </w:r>
    <w:r>
      <w:rPr>
        <w:rFonts w:ascii="Garamond" w:hAnsi="Garamond"/>
      </w:rPr>
      <w:t xml:space="preserve">, </w:t>
    </w:r>
    <w:r w:rsidR="007B3445" w:rsidRPr="00CF4171">
      <w:rPr>
        <w:rFonts w:ascii="Garamond" w:hAnsi="Garamond"/>
      </w:rPr>
      <w:t>20</w:t>
    </w:r>
    <w:r w:rsidR="00287C6D" w:rsidRPr="00CF4171">
      <w:rPr>
        <w:rFonts w:ascii="Garamond" w:hAnsi="Garamond"/>
      </w:rPr>
      <w:t>2</w:t>
    </w:r>
    <w:r w:rsidR="00382D32">
      <w:rPr>
        <w:rFonts w:ascii="Garamond" w:hAnsi="Garamond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29C22" w14:textId="77777777" w:rsidR="00736231" w:rsidRDefault="00736231" w:rsidP="005B6220">
      <w:pPr>
        <w:spacing w:after="0" w:line="240" w:lineRule="auto"/>
      </w:pPr>
      <w:r>
        <w:separator/>
      </w:r>
    </w:p>
  </w:footnote>
  <w:footnote w:type="continuationSeparator" w:id="0">
    <w:p w14:paraId="0732D2D7" w14:textId="77777777" w:rsidR="00736231" w:rsidRDefault="00736231" w:rsidP="005B6220">
      <w:pPr>
        <w:spacing w:after="0" w:line="240" w:lineRule="auto"/>
      </w:pPr>
      <w:r>
        <w:continuationSeparator/>
      </w:r>
    </w:p>
  </w:footnote>
  <w:footnote w:type="continuationNotice" w:id="1">
    <w:p w14:paraId="7E057548" w14:textId="77777777" w:rsidR="00736231" w:rsidRDefault="007362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B465A"/>
    <w:multiLevelType w:val="hybridMultilevel"/>
    <w:tmpl w:val="0ED20D42"/>
    <w:lvl w:ilvl="0" w:tplc="CE0E6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71186C"/>
    <w:multiLevelType w:val="hybridMultilevel"/>
    <w:tmpl w:val="03367FA0"/>
    <w:lvl w:ilvl="0" w:tplc="7D92EFF0">
      <w:start w:val="1"/>
      <w:numFmt w:val="upperRoman"/>
      <w:pStyle w:val="Heading1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B740DC"/>
    <w:multiLevelType w:val="hybridMultilevel"/>
    <w:tmpl w:val="FFFFFFFF"/>
    <w:lvl w:ilvl="0" w:tplc="D2861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20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569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0D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EAA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CC1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68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849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949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0CF"/>
    <w:multiLevelType w:val="hybridMultilevel"/>
    <w:tmpl w:val="C388C982"/>
    <w:lvl w:ilvl="0" w:tplc="345E7DA8">
      <w:start w:val="1"/>
      <w:numFmt w:val="upperLetter"/>
      <w:pStyle w:val="Heading2"/>
      <w:lvlText w:val="%1."/>
      <w:lvlJc w:val="left"/>
      <w:pPr>
        <w:ind w:left="360" w:hanging="360"/>
      </w:pPr>
    </w:lvl>
    <w:lvl w:ilvl="1" w:tplc="FFFFFFFF">
      <w:start w:val="1"/>
      <w:numFmt w:val="lowerRoman"/>
      <w:pStyle w:val="Heading3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DD681C"/>
    <w:multiLevelType w:val="hybridMultilevel"/>
    <w:tmpl w:val="FFFFFFFF"/>
    <w:lvl w:ilvl="0" w:tplc="BCC0CA92">
      <w:start w:val="1"/>
      <w:numFmt w:val="upperRoman"/>
      <w:lvlText w:val="%1."/>
      <w:lvlJc w:val="right"/>
      <w:pPr>
        <w:ind w:left="720" w:hanging="360"/>
      </w:pPr>
    </w:lvl>
    <w:lvl w:ilvl="1" w:tplc="D4F8E61A">
      <w:start w:val="1"/>
      <w:numFmt w:val="lowerLetter"/>
      <w:lvlText w:val="%2."/>
      <w:lvlJc w:val="left"/>
      <w:pPr>
        <w:ind w:left="1440" w:hanging="360"/>
      </w:pPr>
    </w:lvl>
    <w:lvl w:ilvl="2" w:tplc="1A0EE624">
      <w:start w:val="1"/>
      <w:numFmt w:val="lowerRoman"/>
      <w:lvlText w:val="%3."/>
      <w:lvlJc w:val="right"/>
      <w:pPr>
        <w:ind w:left="2160" w:hanging="180"/>
      </w:pPr>
    </w:lvl>
    <w:lvl w:ilvl="3" w:tplc="A3C41126">
      <w:start w:val="1"/>
      <w:numFmt w:val="decimal"/>
      <w:lvlText w:val="%4."/>
      <w:lvlJc w:val="left"/>
      <w:pPr>
        <w:ind w:left="2880" w:hanging="360"/>
      </w:pPr>
    </w:lvl>
    <w:lvl w:ilvl="4" w:tplc="1C5E9CA0">
      <w:start w:val="1"/>
      <w:numFmt w:val="lowerLetter"/>
      <w:lvlText w:val="%5."/>
      <w:lvlJc w:val="left"/>
      <w:pPr>
        <w:ind w:left="3600" w:hanging="360"/>
      </w:pPr>
    </w:lvl>
    <w:lvl w:ilvl="5" w:tplc="568232AC">
      <w:start w:val="1"/>
      <w:numFmt w:val="lowerRoman"/>
      <w:lvlText w:val="%6."/>
      <w:lvlJc w:val="right"/>
      <w:pPr>
        <w:ind w:left="4320" w:hanging="180"/>
      </w:pPr>
    </w:lvl>
    <w:lvl w:ilvl="6" w:tplc="5BD6BD46">
      <w:start w:val="1"/>
      <w:numFmt w:val="decimal"/>
      <w:lvlText w:val="%7."/>
      <w:lvlJc w:val="left"/>
      <w:pPr>
        <w:ind w:left="5040" w:hanging="360"/>
      </w:pPr>
    </w:lvl>
    <w:lvl w:ilvl="7" w:tplc="D3667F78">
      <w:start w:val="1"/>
      <w:numFmt w:val="lowerLetter"/>
      <w:lvlText w:val="%8."/>
      <w:lvlJc w:val="left"/>
      <w:pPr>
        <w:ind w:left="5760" w:hanging="360"/>
      </w:pPr>
    </w:lvl>
    <w:lvl w:ilvl="8" w:tplc="9E56C2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F172B"/>
    <w:multiLevelType w:val="hybridMultilevel"/>
    <w:tmpl w:val="B100E594"/>
    <w:lvl w:ilvl="0" w:tplc="345E7DA8">
      <w:start w:val="1"/>
      <w:numFmt w:val="upperLetter"/>
      <w:lvlText w:val="%1."/>
      <w:lvlJc w:val="left"/>
      <w:pPr>
        <w:ind w:left="360" w:hanging="360"/>
      </w:pPr>
    </w:lvl>
    <w:lvl w:ilvl="1" w:tplc="866C4332">
      <w:start w:val="1"/>
      <w:numFmt w:val="lowerRoman"/>
      <w:lvlText w:val="%2."/>
      <w:lvlJc w:val="right"/>
      <w:pPr>
        <w:ind w:left="1080" w:hanging="360"/>
      </w:pPr>
    </w:lvl>
    <w:lvl w:ilvl="2" w:tplc="F2486DDA">
      <w:start w:val="1"/>
      <w:numFmt w:val="lowerLetter"/>
      <w:pStyle w:val="Heading4"/>
      <w:lvlText w:val="%3.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9817298">
    <w:abstractNumId w:val="2"/>
  </w:num>
  <w:num w:numId="2" w16cid:durableId="514926929">
    <w:abstractNumId w:val="4"/>
  </w:num>
  <w:num w:numId="3" w16cid:durableId="1977836630">
    <w:abstractNumId w:val="1"/>
  </w:num>
  <w:num w:numId="4" w16cid:durableId="527108656">
    <w:abstractNumId w:val="0"/>
  </w:num>
  <w:num w:numId="5" w16cid:durableId="2001738276">
    <w:abstractNumId w:val="3"/>
  </w:num>
  <w:num w:numId="6" w16cid:durableId="28919538">
    <w:abstractNumId w:val="3"/>
    <w:lvlOverride w:ilvl="0">
      <w:startOverride w:val="1"/>
    </w:lvlOverride>
  </w:num>
  <w:num w:numId="7" w16cid:durableId="467864428">
    <w:abstractNumId w:val="3"/>
    <w:lvlOverride w:ilvl="0">
      <w:startOverride w:val="1"/>
    </w:lvlOverride>
  </w:num>
  <w:num w:numId="8" w16cid:durableId="1087656303">
    <w:abstractNumId w:val="3"/>
    <w:lvlOverride w:ilvl="0">
      <w:startOverride w:val="1"/>
    </w:lvlOverride>
  </w:num>
  <w:num w:numId="9" w16cid:durableId="2058890123">
    <w:abstractNumId w:val="3"/>
    <w:lvlOverride w:ilvl="0">
      <w:startOverride w:val="1"/>
    </w:lvlOverride>
  </w:num>
  <w:num w:numId="10" w16cid:durableId="1085998310">
    <w:abstractNumId w:val="3"/>
    <w:lvlOverride w:ilvl="0">
      <w:startOverride w:val="1"/>
    </w:lvlOverride>
  </w:num>
  <w:num w:numId="11" w16cid:durableId="1616596755">
    <w:abstractNumId w:val="3"/>
    <w:lvlOverride w:ilvl="0">
      <w:startOverride w:val="1"/>
    </w:lvlOverride>
  </w:num>
  <w:num w:numId="12" w16cid:durableId="2108455203">
    <w:abstractNumId w:val="5"/>
  </w:num>
  <w:num w:numId="13" w16cid:durableId="2115861950">
    <w:abstractNumId w:val="3"/>
  </w:num>
  <w:num w:numId="14" w16cid:durableId="1456748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20"/>
    <w:rsid w:val="00041AC9"/>
    <w:rsid w:val="0008770E"/>
    <w:rsid w:val="000B7D28"/>
    <w:rsid w:val="000D13D3"/>
    <w:rsid w:val="000E0F55"/>
    <w:rsid w:val="000E273A"/>
    <w:rsid w:val="00100D4B"/>
    <w:rsid w:val="00103B21"/>
    <w:rsid w:val="001145E5"/>
    <w:rsid w:val="00117F5F"/>
    <w:rsid w:val="0012459E"/>
    <w:rsid w:val="00144A15"/>
    <w:rsid w:val="00162714"/>
    <w:rsid w:val="00162EB8"/>
    <w:rsid w:val="00172EF5"/>
    <w:rsid w:val="0018048A"/>
    <w:rsid w:val="001A109C"/>
    <w:rsid w:val="001D24E7"/>
    <w:rsid w:val="001D3703"/>
    <w:rsid w:val="001E1EB7"/>
    <w:rsid w:val="001E491A"/>
    <w:rsid w:val="0023671A"/>
    <w:rsid w:val="00247BD6"/>
    <w:rsid w:val="00271B2C"/>
    <w:rsid w:val="00282B40"/>
    <w:rsid w:val="00283C2B"/>
    <w:rsid w:val="00287C6D"/>
    <w:rsid w:val="0029306A"/>
    <w:rsid w:val="002A1B3E"/>
    <w:rsid w:val="002D6146"/>
    <w:rsid w:val="002F1330"/>
    <w:rsid w:val="00311353"/>
    <w:rsid w:val="0031193C"/>
    <w:rsid w:val="00313388"/>
    <w:rsid w:val="00332095"/>
    <w:rsid w:val="0033394C"/>
    <w:rsid w:val="0036093B"/>
    <w:rsid w:val="0037376A"/>
    <w:rsid w:val="00382D32"/>
    <w:rsid w:val="00384E76"/>
    <w:rsid w:val="003A01DD"/>
    <w:rsid w:val="003D4ADA"/>
    <w:rsid w:val="003E3303"/>
    <w:rsid w:val="003F314F"/>
    <w:rsid w:val="004346FA"/>
    <w:rsid w:val="00441626"/>
    <w:rsid w:val="00470677"/>
    <w:rsid w:val="00472DA8"/>
    <w:rsid w:val="00482F0A"/>
    <w:rsid w:val="00487DAF"/>
    <w:rsid w:val="00494B0F"/>
    <w:rsid w:val="004A3A5B"/>
    <w:rsid w:val="004B4761"/>
    <w:rsid w:val="004C2C4C"/>
    <w:rsid w:val="004F7990"/>
    <w:rsid w:val="0050286E"/>
    <w:rsid w:val="00515C67"/>
    <w:rsid w:val="00543338"/>
    <w:rsid w:val="00544489"/>
    <w:rsid w:val="0059539C"/>
    <w:rsid w:val="005A3440"/>
    <w:rsid w:val="005B6220"/>
    <w:rsid w:val="006045A9"/>
    <w:rsid w:val="00605250"/>
    <w:rsid w:val="00616E21"/>
    <w:rsid w:val="006238CF"/>
    <w:rsid w:val="0063339A"/>
    <w:rsid w:val="00653D62"/>
    <w:rsid w:val="00655409"/>
    <w:rsid w:val="00655BF8"/>
    <w:rsid w:val="0067150C"/>
    <w:rsid w:val="006A4CE7"/>
    <w:rsid w:val="006C264B"/>
    <w:rsid w:val="006D0323"/>
    <w:rsid w:val="006E05E7"/>
    <w:rsid w:val="006E18DD"/>
    <w:rsid w:val="007003DD"/>
    <w:rsid w:val="00736231"/>
    <w:rsid w:val="0075428A"/>
    <w:rsid w:val="0075BCD0"/>
    <w:rsid w:val="0077266E"/>
    <w:rsid w:val="00786869"/>
    <w:rsid w:val="007B19B6"/>
    <w:rsid w:val="007B3445"/>
    <w:rsid w:val="007B67CD"/>
    <w:rsid w:val="007D0E14"/>
    <w:rsid w:val="007F0812"/>
    <w:rsid w:val="007F6D3C"/>
    <w:rsid w:val="0081380C"/>
    <w:rsid w:val="00845612"/>
    <w:rsid w:val="008F7A2E"/>
    <w:rsid w:val="00921932"/>
    <w:rsid w:val="00951135"/>
    <w:rsid w:val="009538B2"/>
    <w:rsid w:val="0096271C"/>
    <w:rsid w:val="00974BEF"/>
    <w:rsid w:val="00977D6F"/>
    <w:rsid w:val="00986092"/>
    <w:rsid w:val="009C40AF"/>
    <w:rsid w:val="009D5BD1"/>
    <w:rsid w:val="009D6097"/>
    <w:rsid w:val="009F3028"/>
    <w:rsid w:val="00A14E65"/>
    <w:rsid w:val="00A961F6"/>
    <w:rsid w:val="00A97D3F"/>
    <w:rsid w:val="00AA76BA"/>
    <w:rsid w:val="00AB0E84"/>
    <w:rsid w:val="00AE30B8"/>
    <w:rsid w:val="00AF11BA"/>
    <w:rsid w:val="00B33DE9"/>
    <w:rsid w:val="00B7705F"/>
    <w:rsid w:val="00BC5F13"/>
    <w:rsid w:val="00BD65C5"/>
    <w:rsid w:val="00C46597"/>
    <w:rsid w:val="00C62215"/>
    <w:rsid w:val="00C634ED"/>
    <w:rsid w:val="00C82F4E"/>
    <w:rsid w:val="00CC4F70"/>
    <w:rsid w:val="00CF4171"/>
    <w:rsid w:val="00D114D4"/>
    <w:rsid w:val="00D22CE1"/>
    <w:rsid w:val="00D30222"/>
    <w:rsid w:val="00D335CF"/>
    <w:rsid w:val="00D34771"/>
    <w:rsid w:val="00D53A1B"/>
    <w:rsid w:val="00D63E82"/>
    <w:rsid w:val="00D70AAF"/>
    <w:rsid w:val="00DA3917"/>
    <w:rsid w:val="00DB1A5A"/>
    <w:rsid w:val="00DD7DB4"/>
    <w:rsid w:val="00DE7041"/>
    <w:rsid w:val="00E0227A"/>
    <w:rsid w:val="00E04058"/>
    <w:rsid w:val="00E16858"/>
    <w:rsid w:val="00EB52E4"/>
    <w:rsid w:val="00EC7A90"/>
    <w:rsid w:val="00EE0309"/>
    <w:rsid w:val="00EE3D3D"/>
    <w:rsid w:val="00EF168C"/>
    <w:rsid w:val="00F17A27"/>
    <w:rsid w:val="00F27C4D"/>
    <w:rsid w:val="00F30FE4"/>
    <w:rsid w:val="00F377D3"/>
    <w:rsid w:val="00F518FD"/>
    <w:rsid w:val="00F65AFF"/>
    <w:rsid w:val="00F83B86"/>
    <w:rsid w:val="00FE0F7F"/>
    <w:rsid w:val="00FE16F8"/>
    <w:rsid w:val="00FE263F"/>
    <w:rsid w:val="00FE709B"/>
    <w:rsid w:val="00FE7979"/>
    <w:rsid w:val="00FE7A2D"/>
    <w:rsid w:val="07D443DD"/>
    <w:rsid w:val="088D2FF1"/>
    <w:rsid w:val="0A881AB4"/>
    <w:rsid w:val="0C7E05F8"/>
    <w:rsid w:val="0D71C9F0"/>
    <w:rsid w:val="0EBF0A37"/>
    <w:rsid w:val="14B2DA36"/>
    <w:rsid w:val="16340819"/>
    <w:rsid w:val="18E9B680"/>
    <w:rsid w:val="1C8112BA"/>
    <w:rsid w:val="21EBCFD6"/>
    <w:rsid w:val="23BC4DCB"/>
    <w:rsid w:val="26BC2118"/>
    <w:rsid w:val="26CC4D36"/>
    <w:rsid w:val="2B570070"/>
    <w:rsid w:val="2B608BA4"/>
    <w:rsid w:val="2BC05145"/>
    <w:rsid w:val="2BDECE58"/>
    <w:rsid w:val="2F8F22A6"/>
    <w:rsid w:val="3051C7BE"/>
    <w:rsid w:val="33E2C3A7"/>
    <w:rsid w:val="36ACB890"/>
    <w:rsid w:val="36DFABC1"/>
    <w:rsid w:val="38DEEA51"/>
    <w:rsid w:val="3F83182D"/>
    <w:rsid w:val="4181BD9A"/>
    <w:rsid w:val="43D95E77"/>
    <w:rsid w:val="478C74C7"/>
    <w:rsid w:val="486F737A"/>
    <w:rsid w:val="48AE513D"/>
    <w:rsid w:val="4A970DC1"/>
    <w:rsid w:val="4CD5C675"/>
    <w:rsid w:val="4D85D50D"/>
    <w:rsid w:val="4DC6621E"/>
    <w:rsid w:val="4F8D8720"/>
    <w:rsid w:val="533832E7"/>
    <w:rsid w:val="5843A0B0"/>
    <w:rsid w:val="5B856B11"/>
    <w:rsid w:val="5C29F50C"/>
    <w:rsid w:val="5D05260E"/>
    <w:rsid w:val="62B0F271"/>
    <w:rsid w:val="632D35E1"/>
    <w:rsid w:val="63D1F266"/>
    <w:rsid w:val="64190923"/>
    <w:rsid w:val="6421B0F0"/>
    <w:rsid w:val="66696D4F"/>
    <w:rsid w:val="6A760C23"/>
    <w:rsid w:val="6D4E205B"/>
    <w:rsid w:val="6E06BC05"/>
    <w:rsid w:val="7216C154"/>
    <w:rsid w:val="76C007A5"/>
    <w:rsid w:val="78858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CC7C"/>
  <w15:chartTrackingRefBased/>
  <w15:docId w15:val="{1C2FD511-777B-4362-8B76-D6DDB113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5B6220"/>
    <w:pPr>
      <w:numPr>
        <w:numId w:val="3"/>
      </w:numPr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33394C"/>
    <w:pPr>
      <w:numPr>
        <w:numId w:val="5"/>
      </w:numPr>
      <w:outlineLvl w:val="1"/>
    </w:pPr>
    <w:rPr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E30B8"/>
    <w:pPr>
      <w:numPr>
        <w:ilvl w:val="1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3394C"/>
    <w:pPr>
      <w:numPr>
        <w:ilvl w:val="2"/>
        <w:numId w:val="12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2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220"/>
  </w:style>
  <w:style w:type="paragraph" w:styleId="Footer">
    <w:name w:val="footer"/>
    <w:basedOn w:val="Normal"/>
    <w:link w:val="FooterChar"/>
    <w:uiPriority w:val="99"/>
    <w:unhideWhenUsed/>
    <w:rsid w:val="005B6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220"/>
  </w:style>
  <w:style w:type="character" w:customStyle="1" w:styleId="Heading1Char">
    <w:name w:val="Heading 1 Char"/>
    <w:basedOn w:val="DefaultParagraphFont"/>
    <w:link w:val="Heading1"/>
    <w:uiPriority w:val="9"/>
    <w:rsid w:val="005B6220"/>
    <w:rPr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394C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E30B8"/>
    <w:rPr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3394C"/>
    <w:rPr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55409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5540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40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55409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5540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21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21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0F4B-1549-48E0-B0E9-58F30FCA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838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Gerstle, Brandon T.</dc:creator>
  <cp:keywords/>
  <dc:description/>
  <cp:lastModifiedBy>Baltar, Michael</cp:lastModifiedBy>
  <cp:revision>10</cp:revision>
  <cp:lastPrinted>2018-08-01T19:50:00Z</cp:lastPrinted>
  <dcterms:created xsi:type="dcterms:W3CDTF">2025-07-07T23:35:00Z</dcterms:created>
  <dcterms:modified xsi:type="dcterms:W3CDTF">2025-07-07T23:41:00Z</dcterms:modified>
</cp:coreProperties>
</file>